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spacing w:before="156" w:after="156"/>
        <w:ind w:firstLine="1044"/>
        <w:jc w:val="center"/>
        <w:rPr>
          <w:b/>
          <w:bCs/>
          <w:sz w:val="52"/>
          <w:szCs w:val="52"/>
        </w:rPr>
      </w:pPr>
      <w:bookmarkStart w:id="0" w:name="_Toc1733381"/>
      <w:bookmarkStart w:id="1" w:name="_Toc31309"/>
    </w:p>
    <w:p>
      <w:pPr>
        <w:autoSpaceDE/>
        <w:autoSpaceDN/>
        <w:adjustRightInd/>
        <w:snapToGrid w:val="0"/>
        <w:spacing w:before="156" w:after="156" w:line="360" w:lineRule="auto"/>
        <w:ind w:firstLine="0" w:firstLineChars="0"/>
        <w:jc w:val="center"/>
        <w:rPr>
          <w:rFonts w:hint="eastAsia" w:ascii="Times New Roman"/>
          <w:b/>
          <w:bCs/>
          <w:kern w:val="2"/>
          <w:sz w:val="52"/>
          <w:szCs w:val="52"/>
        </w:rPr>
      </w:pPr>
      <w:r>
        <w:rPr>
          <w:rFonts w:hint="eastAsia" w:ascii="Times New Roman"/>
          <w:b/>
          <w:bCs/>
          <w:kern w:val="2"/>
          <w:sz w:val="52"/>
          <w:szCs w:val="52"/>
        </w:rPr>
        <w:t>广东南华工商职业学院清远校区二期</w:t>
      </w:r>
    </w:p>
    <w:p>
      <w:pPr>
        <w:autoSpaceDE/>
        <w:autoSpaceDN/>
        <w:adjustRightInd/>
        <w:snapToGrid w:val="0"/>
        <w:spacing w:before="156" w:after="156" w:line="360" w:lineRule="auto"/>
        <w:ind w:firstLine="0" w:firstLineChars="0"/>
        <w:jc w:val="center"/>
        <w:rPr>
          <w:rFonts w:ascii="Times New Roman"/>
          <w:b/>
          <w:bCs/>
          <w:kern w:val="2"/>
          <w:sz w:val="52"/>
          <w:szCs w:val="52"/>
        </w:rPr>
      </w:pPr>
      <w:r>
        <w:rPr>
          <w:rFonts w:hint="eastAsia" w:ascii="Times New Roman"/>
          <w:b/>
          <w:bCs/>
          <w:kern w:val="2"/>
          <w:sz w:val="52"/>
          <w:szCs w:val="52"/>
        </w:rPr>
        <w:t>海绵城市设计专篇说明</w:t>
      </w:r>
    </w:p>
    <w:p>
      <w:pPr>
        <w:autoSpaceDE/>
        <w:autoSpaceDN/>
        <w:adjustRightInd/>
        <w:snapToGrid w:val="0"/>
        <w:spacing w:before="156" w:after="156" w:line="360" w:lineRule="auto"/>
        <w:ind w:firstLine="0" w:firstLineChars="0"/>
        <w:jc w:val="center"/>
        <w:rPr>
          <w:rFonts w:ascii="Times New Roman"/>
          <w:b/>
          <w:bCs/>
          <w:kern w:val="2"/>
          <w:sz w:val="52"/>
          <w:szCs w:val="52"/>
        </w:rPr>
      </w:pPr>
    </w:p>
    <w:p>
      <w:pPr>
        <w:autoSpaceDE/>
        <w:autoSpaceDN/>
        <w:adjustRightInd/>
        <w:snapToGrid w:val="0"/>
        <w:spacing w:before="156" w:after="156" w:line="360" w:lineRule="auto"/>
        <w:ind w:firstLine="0" w:firstLineChars="0"/>
        <w:jc w:val="center"/>
        <w:rPr>
          <w:rFonts w:ascii="Times New Roman"/>
          <w:b/>
          <w:bCs/>
          <w:kern w:val="2"/>
          <w:sz w:val="52"/>
          <w:szCs w:val="52"/>
        </w:rPr>
      </w:pPr>
    </w:p>
    <w:p>
      <w:pPr>
        <w:autoSpaceDE/>
        <w:autoSpaceDN/>
        <w:adjustRightInd/>
        <w:snapToGrid w:val="0"/>
        <w:spacing w:before="156" w:after="156" w:line="360" w:lineRule="auto"/>
        <w:ind w:firstLine="0" w:firstLineChars="0"/>
        <w:jc w:val="center"/>
        <w:rPr>
          <w:rFonts w:ascii="Times New Roman"/>
          <w:b/>
          <w:bCs/>
          <w:kern w:val="2"/>
          <w:sz w:val="52"/>
          <w:szCs w:val="52"/>
        </w:rPr>
      </w:pPr>
    </w:p>
    <w:p>
      <w:pPr>
        <w:autoSpaceDE/>
        <w:autoSpaceDN/>
        <w:adjustRightInd/>
        <w:snapToGrid w:val="0"/>
        <w:spacing w:before="156" w:after="156" w:line="360" w:lineRule="auto"/>
        <w:ind w:firstLine="0" w:firstLineChars="0"/>
        <w:jc w:val="center"/>
        <w:rPr>
          <w:rFonts w:ascii="Times New Roman"/>
          <w:b/>
          <w:bCs/>
          <w:kern w:val="2"/>
          <w:sz w:val="52"/>
          <w:szCs w:val="52"/>
        </w:rPr>
      </w:pPr>
    </w:p>
    <w:p>
      <w:pPr>
        <w:pStyle w:val="2"/>
        <w:rPr>
          <w:rFonts w:ascii="Times New Roman"/>
          <w:b/>
          <w:bCs/>
          <w:kern w:val="2"/>
          <w:sz w:val="52"/>
          <w:szCs w:val="52"/>
        </w:rPr>
      </w:pPr>
    </w:p>
    <w:p>
      <w:pPr>
        <w:pStyle w:val="2"/>
        <w:rPr>
          <w:rFonts w:ascii="Times New Roman"/>
          <w:b/>
          <w:bCs/>
          <w:kern w:val="2"/>
          <w:sz w:val="52"/>
          <w:szCs w:val="52"/>
        </w:rPr>
      </w:pPr>
    </w:p>
    <w:tbl>
      <w:tblPr>
        <w:tblStyle w:val="44"/>
        <w:tblW w:w="8256" w:type="dxa"/>
        <w:jc w:val="center"/>
        <w:tblLayout w:type="fixed"/>
        <w:tblCellMar>
          <w:top w:w="0" w:type="dxa"/>
          <w:left w:w="108" w:type="dxa"/>
          <w:bottom w:w="0" w:type="dxa"/>
          <w:right w:w="108" w:type="dxa"/>
        </w:tblCellMar>
      </w:tblPr>
      <w:tblGrid>
        <w:gridCol w:w="2345"/>
        <w:gridCol w:w="5911"/>
      </w:tblGrid>
      <w:tr>
        <w:tblPrEx>
          <w:tblCellMar>
            <w:top w:w="0" w:type="dxa"/>
            <w:left w:w="108" w:type="dxa"/>
            <w:bottom w:w="0" w:type="dxa"/>
            <w:right w:w="108" w:type="dxa"/>
          </w:tblCellMar>
        </w:tblPrEx>
        <w:trPr>
          <w:trHeight w:val="567" w:hRule="atLeast"/>
          <w:jc w:val="center"/>
        </w:trPr>
        <w:tc>
          <w:tcPr>
            <w:tcW w:w="2345" w:type="dxa"/>
            <w:tcBorders>
              <w:bottom w:val="single" w:color="auto" w:sz="4" w:space="0"/>
            </w:tcBorders>
            <w:vAlign w:val="center"/>
          </w:tcPr>
          <w:p>
            <w:pPr>
              <w:autoSpaceDE/>
              <w:autoSpaceDN/>
              <w:adjustRightInd/>
              <w:spacing w:before="156" w:after="156"/>
              <w:ind w:firstLine="0" w:firstLineChars="0"/>
              <w:jc w:val="both"/>
              <w:rPr>
                <w:rFonts w:hAnsi="宋体" w:cs="宋体"/>
                <w:bCs/>
                <w:sz w:val="30"/>
                <w:szCs w:val="30"/>
              </w:rPr>
            </w:pPr>
            <w:r>
              <w:rPr>
                <w:rFonts w:hint="eastAsia" w:hAnsi="宋体" w:cs="宋体"/>
                <w:bCs/>
                <w:sz w:val="30"/>
                <w:szCs w:val="30"/>
              </w:rPr>
              <w:t>工 程 地 点：</w:t>
            </w:r>
          </w:p>
        </w:tc>
        <w:tc>
          <w:tcPr>
            <w:tcW w:w="5911" w:type="dxa"/>
            <w:tcBorders>
              <w:bottom w:val="single" w:color="auto" w:sz="4" w:space="0"/>
            </w:tcBorders>
            <w:vAlign w:val="center"/>
          </w:tcPr>
          <w:p>
            <w:pPr>
              <w:spacing w:before="156" w:after="156"/>
              <w:ind w:firstLine="0" w:firstLineChars="0"/>
              <w:rPr>
                <w:rFonts w:hint="default" w:hAnsi="宋体" w:eastAsia="宋体" w:cs="宋体"/>
                <w:bCs/>
                <w:sz w:val="30"/>
                <w:szCs w:val="30"/>
                <w:lang w:val="en-US" w:eastAsia="zh-CN"/>
              </w:rPr>
            </w:pPr>
            <w:r>
              <w:rPr>
                <w:rFonts w:hint="eastAsia" w:hAnsi="宋体" w:cs="宋体"/>
                <w:bCs/>
                <w:sz w:val="30"/>
                <w:szCs w:val="30"/>
                <w:lang w:val="en-US" w:eastAsia="zh-CN"/>
              </w:rPr>
              <w:t>清远市清城区</w:t>
            </w:r>
          </w:p>
        </w:tc>
      </w:tr>
      <w:tr>
        <w:tblPrEx>
          <w:tblCellMar>
            <w:top w:w="0" w:type="dxa"/>
            <w:left w:w="108" w:type="dxa"/>
            <w:bottom w:w="0" w:type="dxa"/>
            <w:right w:w="108" w:type="dxa"/>
          </w:tblCellMar>
        </w:tblPrEx>
        <w:trPr>
          <w:trHeight w:val="567" w:hRule="atLeast"/>
          <w:jc w:val="center"/>
        </w:trPr>
        <w:tc>
          <w:tcPr>
            <w:tcW w:w="2345" w:type="dxa"/>
            <w:tcBorders>
              <w:bottom w:val="single" w:color="auto" w:sz="4" w:space="0"/>
            </w:tcBorders>
            <w:vAlign w:val="center"/>
          </w:tcPr>
          <w:p>
            <w:pPr>
              <w:autoSpaceDE/>
              <w:autoSpaceDN/>
              <w:adjustRightInd/>
              <w:spacing w:before="156" w:after="156"/>
              <w:ind w:firstLine="0" w:firstLineChars="0"/>
              <w:jc w:val="both"/>
              <w:rPr>
                <w:rFonts w:hint="default" w:hAnsi="宋体" w:eastAsia="宋体" w:cs="宋体"/>
                <w:bCs/>
                <w:sz w:val="30"/>
                <w:szCs w:val="30"/>
                <w:lang w:val="en-US" w:eastAsia="zh-CN"/>
              </w:rPr>
            </w:pPr>
            <w:r>
              <w:rPr>
                <w:rFonts w:hint="eastAsia" w:hAnsi="宋体" w:cs="宋体"/>
                <w:bCs/>
                <w:sz w:val="30"/>
                <w:szCs w:val="30"/>
                <w:lang w:val="en-US" w:eastAsia="zh-CN"/>
              </w:rPr>
              <w:t>建 设 单 位：</w:t>
            </w:r>
          </w:p>
        </w:tc>
        <w:tc>
          <w:tcPr>
            <w:tcW w:w="5911" w:type="dxa"/>
            <w:tcBorders>
              <w:bottom w:val="single" w:color="auto" w:sz="4" w:space="0"/>
            </w:tcBorders>
            <w:vAlign w:val="center"/>
          </w:tcPr>
          <w:p>
            <w:pPr>
              <w:spacing w:before="156" w:after="156"/>
              <w:ind w:firstLine="0" w:firstLineChars="0"/>
              <w:rPr>
                <w:rFonts w:hint="eastAsia" w:hAnsi="宋体" w:cs="宋体"/>
                <w:bCs/>
                <w:sz w:val="30"/>
                <w:szCs w:val="30"/>
                <w:lang w:val="en-US" w:eastAsia="zh-CN"/>
              </w:rPr>
            </w:pPr>
            <w:r>
              <w:rPr>
                <w:rFonts w:hint="eastAsia" w:hAnsi="宋体" w:cs="宋体"/>
                <w:bCs/>
                <w:sz w:val="30"/>
                <w:szCs w:val="30"/>
                <w:lang w:val="en-US" w:eastAsia="zh-CN"/>
              </w:rPr>
              <w:t>广东南华工商职业学院</w:t>
            </w:r>
          </w:p>
        </w:tc>
      </w:tr>
      <w:tr>
        <w:tblPrEx>
          <w:tblCellMar>
            <w:top w:w="0" w:type="dxa"/>
            <w:left w:w="108" w:type="dxa"/>
            <w:bottom w:w="0" w:type="dxa"/>
            <w:right w:w="108" w:type="dxa"/>
          </w:tblCellMar>
        </w:tblPrEx>
        <w:trPr>
          <w:trHeight w:val="567" w:hRule="atLeast"/>
          <w:jc w:val="center"/>
        </w:trPr>
        <w:tc>
          <w:tcPr>
            <w:tcW w:w="2345" w:type="dxa"/>
            <w:tcBorders>
              <w:top w:val="single" w:color="auto" w:sz="4" w:space="0"/>
              <w:bottom w:val="single" w:color="auto" w:sz="4" w:space="0"/>
            </w:tcBorders>
            <w:vAlign w:val="center"/>
          </w:tcPr>
          <w:p>
            <w:pPr>
              <w:autoSpaceDE/>
              <w:autoSpaceDN/>
              <w:adjustRightInd/>
              <w:spacing w:before="156" w:after="156"/>
              <w:ind w:firstLine="0" w:firstLineChars="0"/>
              <w:jc w:val="both"/>
              <w:rPr>
                <w:rFonts w:hAnsi="宋体" w:cs="宋体"/>
                <w:bCs/>
                <w:kern w:val="2"/>
                <w:sz w:val="30"/>
                <w:szCs w:val="30"/>
              </w:rPr>
            </w:pPr>
            <w:r>
              <w:rPr>
                <w:rFonts w:hint="eastAsia" w:hAnsi="宋体" w:cs="宋体"/>
                <w:bCs/>
                <w:sz w:val="30"/>
                <w:szCs w:val="30"/>
              </w:rPr>
              <w:t>设 计 单 位：</w:t>
            </w:r>
          </w:p>
        </w:tc>
        <w:tc>
          <w:tcPr>
            <w:tcW w:w="5911" w:type="dxa"/>
            <w:tcBorders>
              <w:top w:val="single" w:color="auto" w:sz="4" w:space="0"/>
              <w:bottom w:val="single" w:color="auto" w:sz="4" w:space="0"/>
            </w:tcBorders>
            <w:vAlign w:val="center"/>
          </w:tcPr>
          <w:p>
            <w:pPr>
              <w:autoSpaceDE/>
              <w:autoSpaceDN/>
              <w:adjustRightInd/>
              <w:spacing w:before="156" w:after="156"/>
              <w:ind w:firstLine="0" w:firstLineChars="0"/>
              <w:jc w:val="both"/>
              <w:rPr>
                <w:rFonts w:hint="default" w:hAnsi="宋体" w:eastAsia="宋体" w:cs="宋体"/>
                <w:bCs/>
                <w:kern w:val="2"/>
                <w:sz w:val="30"/>
                <w:szCs w:val="30"/>
                <w:lang w:val="en-US" w:eastAsia="zh-CN"/>
              </w:rPr>
            </w:pPr>
            <w:bookmarkStart w:id="2" w:name="projectInfo_proxyUnit"/>
            <w:bookmarkEnd w:id="2"/>
            <w:r>
              <w:rPr>
                <w:rFonts w:hint="eastAsia" w:hAnsi="宋体" w:cs="宋体"/>
                <w:bCs/>
                <w:kern w:val="2"/>
                <w:sz w:val="30"/>
                <w:szCs w:val="30"/>
                <w:lang w:val="en-US" w:eastAsia="zh-CN"/>
              </w:rPr>
              <w:t>中誉设计有限公司</w:t>
            </w:r>
            <w:bookmarkStart w:id="76" w:name="_GoBack"/>
            <w:bookmarkEnd w:id="76"/>
          </w:p>
        </w:tc>
      </w:tr>
      <w:tr>
        <w:tblPrEx>
          <w:tblCellMar>
            <w:top w:w="0" w:type="dxa"/>
            <w:left w:w="108" w:type="dxa"/>
            <w:bottom w:w="0" w:type="dxa"/>
            <w:right w:w="108" w:type="dxa"/>
          </w:tblCellMar>
        </w:tblPrEx>
        <w:trPr>
          <w:trHeight w:val="567" w:hRule="atLeast"/>
          <w:jc w:val="center"/>
        </w:trPr>
        <w:tc>
          <w:tcPr>
            <w:tcW w:w="2345" w:type="dxa"/>
            <w:tcBorders>
              <w:top w:val="single" w:color="auto" w:sz="4" w:space="0"/>
              <w:bottom w:val="single" w:color="auto" w:sz="4" w:space="0"/>
            </w:tcBorders>
            <w:vAlign w:val="center"/>
          </w:tcPr>
          <w:p>
            <w:pPr>
              <w:autoSpaceDE/>
              <w:autoSpaceDN/>
              <w:adjustRightInd/>
              <w:spacing w:before="156" w:after="156"/>
              <w:ind w:firstLine="0" w:firstLineChars="0"/>
              <w:jc w:val="both"/>
              <w:rPr>
                <w:rFonts w:hAnsi="宋体" w:cs="宋体"/>
                <w:bCs/>
                <w:kern w:val="2"/>
                <w:sz w:val="30"/>
                <w:szCs w:val="30"/>
              </w:rPr>
            </w:pPr>
            <w:r>
              <w:rPr>
                <w:rFonts w:hint="eastAsia" w:hAnsi="宋体" w:cs="宋体"/>
                <w:bCs/>
                <w:sz w:val="30"/>
                <w:szCs w:val="30"/>
              </w:rPr>
              <w:t>编 制 日 期：</w:t>
            </w:r>
          </w:p>
        </w:tc>
        <w:tc>
          <w:tcPr>
            <w:tcW w:w="5911" w:type="dxa"/>
            <w:tcBorders>
              <w:top w:val="single" w:color="auto" w:sz="4" w:space="0"/>
              <w:bottom w:val="single" w:color="auto" w:sz="4" w:space="0"/>
            </w:tcBorders>
            <w:vAlign w:val="center"/>
          </w:tcPr>
          <w:p>
            <w:pPr>
              <w:autoSpaceDE/>
              <w:autoSpaceDN/>
              <w:adjustRightInd/>
              <w:spacing w:before="156" w:after="156"/>
              <w:ind w:firstLine="0" w:firstLineChars="0"/>
              <w:jc w:val="both"/>
              <w:rPr>
                <w:rFonts w:hAnsi="宋体" w:cs="宋体"/>
                <w:bCs/>
                <w:kern w:val="2"/>
                <w:sz w:val="30"/>
                <w:szCs w:val="30"/>
              </w:rPr>
            </w:pPr>
            <w:bookmarkStart w:id="3" w:name="projectInfo_reportDate"/>
            <w:bookmarkEnd w:id="3"/>
            <w:r>
              <w:rPr>
                <w:rFonts w:hint="eastAsia" w:hAnsi="宋体" w:cs="宋体"/>
                <w:bCs/>
                <w:kern w:val="2"/>
                <w:sz w:val="30"/>
                <w:szCs w:val="30"/>
              </w:rPr>
              <w:t>202</w:t>
            </w:r>
            <w:r>
              <w:rPr>
                <w:rFonts w:hint="eastAsia" w:hAnsi="宋体" w:cs="宋体"/>
                <w:bCs/>
                <w:kern w:val="2"/>
                <w:sz w:val="30"/>
                <w:szCs w:val="30"/>
                <w:lang w:val="en-US" w:eastAsia="zh-CN"/>
              </w:rPr>
              <w:t>3</w:t>
            </w:r>
            <w:r>
              <w:rPr>
                <w:rFonts w:hint="eastAsia" w:hAnsi="宋体" w:cs="宋体"/>
                <w:bCs/>
                <w:kern w:val="2"/>
                <w:sz w:val="30"/>
                <w:szCs w:val="30"/>
              </w:rPr>
              <w:t>年</w:t>
            </w:r>
            <w:r>
              <w:rPr>
                <w:rFonts w:hint="eastAsia" w:hAnsi="宋体" w:cs="宋体"/>
                <w:bCs/>
                <w:kern w:val="2"/>
                <w:sz w:val="30"/>
                <w:szCs w:val="30"/>
                <w:lang w:val="en-US" w:eastAsia="zh-CN"/>
              </w:rPr>
              <w:t>04</w:t>
            </w:r>
            <w:r>
              <w:rPr>
                <w:rFonts w:hint="eastAsia" w:hAnsi="宋体" w:cs="宋体"/>
                <w:bCs/>
                <w:kern w:val="2"/>
                <w:sz w:val="30"/>
                <w:szCs w:val="30"/>
              </w:rPr>
              <w:t>月</w:t>
            </w:r>
          </w:p>
        </w:tc>
      </w:tr>
    </w:tbl>
    <w:p>
      <w:pPr>
        <w:spacing w:beforeLines="0" w:afterLines="0" w:line="360" w:lineRule="auto"/>
        <w:ind w:firstLine="0" w:firstLineChars="0"/>
        <w:jc w:val="center"/>
        <w:rPr>
          <w:lang w:val="zh-CN"/>
        </w:rPr>
      </w:pPr>
    </w:p>
    <w:sdt>
      <w:sdtPr>
        <w:rPr>
          <w:b/>
          <w:bCs/>
          <w:lang w:val="zh-CN"/>
        </w:rPr>
        <w:id w:val="22546671"/>
      </w:sdtPr>
      <w:sdtEndPr>
        <w:rPr>
          <w:b/>
          <w:bCs/>
          <w:lang w:val="en-US"/>
        </w:rPr>
      </w:sdtEndPr>
      <w:sdtContent>
        <w:p>
          <w:pPr>
            <w:spacing w:beforeLines="0" w:afterLines="0" w:line="360" w:lineRule="auto"/>
            <w:ind w:firstLine="0" w:firstLineChars="0"/>
            <w:jc w:val="center"/>
            <w:rPr>
              <w:b/>
              <w:bCs/>
              <w:sz w:val="28"/>
              <w:szCs w:val="28"/>
            </w:rPr>
          </w:pPr>
          <w:r>
            <w:rPr>
              <w:rFonts w:hAnsi="宋体"/>
              <w:b/>
              <w:bCs/>
              <w:sz w:val="28"/>
              <w:szCs w:val="28"/>
            </w:rPr>
            <w:t>目</w:t>
          </w:r>
          <w:r>
            <w:rPr>
              <w:rFonts w:hint="eastAsia" w:hAnsi="宋体"/>
              <w:b/>
              <w:bCs/>
              <w:sz w:val="28"/>
              <w:szCs w:val="28"/>
            </w:rPr>
            <w:t xml:space="preserve">  </w:t>
          </w:r>
          <w:r>
            <w:rPr>
              <w:rFonts w:hAnsi="宋体"/>
              <w:b/>
              <w:bCs/>
              <w:sz w:val="28"/>
              <w:szCs w:val="28"/>
            </w:rPr>
            <w:t>录</w:t>
          </w:r>
        </w:p>
        <w:p>
          <w:pPr>
            <w:pStyle w:val="31"/>
            <w:keepNext w:val="0"/>
            <w:keepLines w:val="0"/>
            <w:pageBreakBefore w:val="0"/>
            <w:widowControl w:val="0"/>
            <w:tabs>
              <w:tab w:val="right" w:leader="dot" w:pos="8970"/>
            </w:tabs>
            <w:kinsoku/>
            <w:wordWrap/>
            <w:overflowPunct/>
            <w:topLinePunct w:val="0"/>
            <w:autoSpaceDE w:val="0"/>
            <w:autoSpaceDN w:val="0"/>
            <w:bidi w:val="0"/>
            <w:adjustRightInd w:val="0"/>
            <w:snapToGrid/>
            <w:spacing w:line="240" w:lineRule="auto"/>
            <w:textAlignment w:val="auto"/>
          </w:pPr>
          <w:r>
            <w:rPr>
              <w:rFonts w:hint="eastAsia"/>
            </w:rPr>
            <w:fldChar w:fldCharType="begin"/>
          </w:r>
          <w:r>
            <w:rPr>
              <w:rFonts w:hint="eastAsia"/>
            </w:rPr>
            <w:instrText xml:space="preserve"> TOC \o "1-3" \h \z \u </w:instrText>
          </w:r>
          <w:r>
            <w:rPr>
              <w:rFonts w:hint="eastAsia"/>
            </w:rPr>
            <w:fldChar w:fldCharType="separate"/>
          </w:r>
          <w:r>
            <w:rPr>
              <w:rFonts w:hint="eastAsia"/>
            </w:rPr>
            <w:fldChar w:fldCharType="begin"/>
          </w:r>
          <w:r>
            <w:rPr>
              <w:rFonts w:hint="eastAsia"/>
            </w:rPr>
            <w:instrText xml:space="preserve"> HYPERLINK \l _Toc10563 </w:instrText>
          </w:r>
          <w:r>
            <w:rPr>
              <w:rFonts w:hint="eastAsia"/>
            </w:rPr>
            <w:fldChar w:fldCharType="separate"/>
          </w:r>
          <w:r>
            <w:rPr>
              <w:rFonts w:hint="eastAsia"/>
            </w:rPr>
            <w:t>1、项目概况及设计依据</w:t>
          </w:r>
          <w:r>
            <w:tab/>
          </w:r>
          <w:r>
            <w:fldChar w:fldCharType="begin"/>
          </w:r>
          <w:r>
            <w:instrText xml:space="preserve"> PAGEREF _Toc10563 \h </w:instrText>
          </w:r>
          <w:r>
            <w:fldChar w:fldCharType="separate"/>
          </w:r>
          <w:r>
            <w:t>3</w:t>
          </w:r>
          <w:r>
            <w:fldChar w:fldCharType="end"/>
          </w:r>
          <w:r>
            <w:rPr>
              <w:rFonts w:hint="eastAsia"/>
            </w:rPr>
            <w:fldChar w:fldCharType="end"/>
          </w:r>
        </w:p>
        <w:p>
          <w:pPr>
            <w:pStyle w:val="37"/>
            <w:keepNext w:val="0"/>
            <w:keepLines w:val="0"/>
            <w:pageBreakBefore w:val="0"/>
            <w:widowControl w:val="0"/>
            <w:tabs>
              <w:tab w:val="right" w:leader="dot" w:pos="8970"/>
            </w:tabs>
            <w:kinsoku/>
            <w:wordWrap/>
            <w:overflowPunct/>
            <w:topLinePunct w:val="0"/>
            <w:autoSpaceDE w:val="0"/>
            <w:autoSpaceDN w:val="0"/>
            <w:bidi w:val="0"/>
            <w:adjustRightInd w:val="0"/>
            <w:snapToGrid/>
            <w:spacing w:line="240" w:lineRule="auto"/>
            <w:textAlignment w:val="auto"/>
          </w:pPr>
          <w:r>
            <w:rPr>
              <w:rFonts w:hint="eastAsia"/>
            </w:rPr>
            <w:fldChar w:fldCharType="begin"/>
          </w:r>
          <w:r>
            <w:rPr>
              <w:rFonts w:hint="eastAsia"/>
            </w:rPr>
            <w:instrText xml:space="preserve"> HYPERLINK \l _Toc21351 </w:instrText>
          </w:r>
          <w:r>
            <w:rPr>
              <w:rFonts w:hint="eastAsia"/>
            </w:rPr>
            <w:fldChar w:fldCharType="separate"/>
          </w:r>
          <w:r>
            <w:rPr>
              <w:rFonts w:hint="eastAsia"/>
            </w:rPr>
            <w:t>1.1、项目概况</w:t>
          </w:r>
          <w:r>
            <w:tab/>
          </w:r>
          <w:r>
            <w:fldChar w:fldCharType="begin"/>
          </w:r>
          <w:r>
            <w:instrText xml:space="preserve"> PAGEREF _Toc21351 \h </w:instrText>
          </w:r>
          <w:r>
            <w:fldChar w:fldCharType="separate"/>
          </w:r>
          <w:r>
            <w:t>3</w:t>
          </w:r>
          <w:r>
            <w:fldChar w:fldCharType="end"/>
          </w:r>
          <w:r>
            <w:rPr>
              <w:rFonts w:hint="eastAsia"/>
            </w:rPr>
            <w:fldChar w:fldCharType="end"/>
          </w:r>
        </w:p>
        <w:p>
          <w:pPr>
            <w:pStyle w:val="37"/>
            <w:keepNext w:val="0"/>
            <w:keepLines w:val="0"/>
            <w:pageBreakBefore w:val="0"/>
            <w:widowControl w:val="0"/>
            <w:tabs>
              <w:tab w:val="right" w:leader="dot" w:pos="8970"/>
            </w:tabs>
            <w:kinsoku/>
            <w:wordWrap/>
            <w:overflowPunct/>
            <w:topLinePunct w:val="0"/>
            <w:autoSpaceDE w:val="0"/>
            <w:autoSpaceDN w:val="0"/>
            <w:bidi w:val="0"/>
            <w:adjustRightInd w:val="0"/>
            <w:snapToGrid/>
            <w:spacing w:line="240" w:lineRule="auto"/>
            <w:textAlignment w:val="auto"/>
          </w:pPr>
          <w:r>
            <w:rPr>
              <w:rFonts w:hint="eastAsia"/>
            </w:rPr>
            <w:fldChar w:fldCharType="begin"/>
          </w:r>
          <w:r>
            <w:rPr>
              <w:rFonts w:hint="eastAsia"/>
            </w:rPr>
            <w:instrText xml:space="preserve"> HYPERLINK \l _Toc27104 </w:instrText>
          </w:r>
          <w:r>
            <w:rPr>
              <w:rFonts w:hint="eastAsia"/>
            </w:rPr>
            <w:fldChar w:fldCharType="separate"/>
          </w:r>
          <w:r>
            <w:rPr>
              <w:rFonts w:hint="eastAsia"/>
            </w:rPr>
            <w:t>1.2、自然环境简况</w:t>
          </w:r>
          <w:r>
            <w:tab/>
          </w:r>
          <w:r>
            <w:fldChar w:fldCharType="begin"/>
          </w:r>
          <w:r>
            <w:instrText xml:space="preserve"> PAGEREF _Toc27104 \h </w:instrText>
          </w:r>
          <w:r>
            <w:fldChar w:fldCharType="separate"/>
          </w:r>
          <w:r>
            <w:t>3</w:t>
          </w:r>
          <w:r>
            <w:fldChar w:fldCharType="end"/>
          </w:r>
          <w:r>
            <w:rPr>
              <w:rFonts w:hint="eastAsia"/>
            </w:rPr>
            <w:fldChar w:fldCharType="end"/>
          </w:r>
        </w:p>
        <w:p>
          <w:pPr>
            <w:pStyle w:val="37"/>
            <w:keepNext w:val="0"/>
            <w:keepLines w:val="0"/>
            <w:pageBreakBefore w:val="0"/>
            <w:widowControl w:val="0"/>
            <w:tabs>
              <w:tab w:val="right" w:leader="dot" w:pos="8970"/>
            </w:tabs>
            <w:kinsoku/>
            <w:wordWrap/>
            <w:overflowPunct/>
            <w:topLinePunct w:val="0"/>
            <w:autoSpaceDE w:val="0"/>
            <w:autoSpaceDN w:val="0"/>
            <w:bidi w:val="0"/>
            <w:adjustRightInd w:val="0"/>
            <w:snapToGrid/>
            <w:spacing w:line="240" w:lineRule="auto"/>
            <w:textAlignment w:val="auto"/>
          </w:pPr>
          <w:r>
            <w:rPr>
              <w:rFonts w:hint="eastAsia"/>
            </w:rPr>
            <w:fldChar w:fldCharType="begin"/>
          </w:r>
          <w:r>
            <w:rPr>
              <w:rFonts w:hint="eastAsia"/>
            </w:rPr>
            <w:instrText xml:space="preserve"> HYPERLINK \l _Toc1912 </w:instrText>
          </w:r>
          <w:r>
            <w:rPr>
              <w:rFonts w:hint="eastAsia"/>
            </w:rPr>
            <w:fldChar w:fldCharType="separate"/>
          </w:r>
          <w:r>
            <w:rPr>
              <w:rFonts w:hint="eastAsia"/>
            </w:rPr>
            <w:t>1.3、项目建设背景</w:t>
          </w:r>
          <w:r>
            <w:tab/>
          </w:r>
          <w:r>
            <w:fldChar w:fldCharType="begin"/>
          </w:r>
          <w:r>
            <w:instrText xml:space="preserve"> PAGEREF _Toc1912 \h </w:instrText>
          </w:r>
          <w:r>
            <w:fldChar w:fldCharType="separate"/>
          </w:r>
          <w:r>
            <w:t>5</w:t>
          </w:r>
          <w:r>
            <w:fldChar w:fldCharType="end"/>
          </w:r>
          <w:r>
            <w:rPr>
              <w:rFonts w:hint="eastAsia"/>
            </w:rPr>
            <w:fldChar w:fldCharType="end"/>
          </w:r>
        </w:p>
        <w:p>
          <w:pPr>
            <w:pStyle w:val="37"/>
            <w:keepNext w:val="0"/>
            <w:keepLines w:val="0"/>
            <w:pageBreakBefore w:val="0"/>
            <w:widowControl w:val="0"/>
            <w:tabs>
              <w:tab w:val="right" w:leader="dot" w:pos="8970"/>
            </w:tabs>
            <w:kinsoku/>
            <w:wordWrap/>
            <w:overflowPunct/>
            <w:topLinePunct w:val="0"/>
            <w:autoSpaceDE w:val="0"/>
            <w:autoSpaceDN w:val="0"/>
            <w:bidi w:val="0"/>
            <w:adjustRightInd w:val="0"/>
            <w:snapToGrid/>
            <w:spacing w:line="240" w:lineRule="auto"/>
            <w:textAlignment w:val="auto"/>
          </w:pPr>
          <w:r>
            <w:rPr>
              <w:rFonts w:hint="eastAsia"/>
            </w:rPr>
            <w:fldChar w:fldCharType="begin"/>
          </w:r>
          <w:r>
            <w:rPr>
              <w:rFonts w:hint="eastAsia"/>
            </w:rPr>
            <w:instrText xml:space="preserve"> HYPERLINK \l _Toc27797 </w:instrText>
          </w:r>
          <w:r>
            <w:rPr>
              <w:rFonts w:hint="eastAsia"/>
            </w:rPr>
            <w:fldChar w:fldCharType="separate"/>
          </w:r>
          <w:r>
            <w:rPr>
              <w:rFonts w:hint="eastAsia"/>
            </w:rPr>
            <w:t>1.4、海绵城市设计依据</w:t>
          </w:r>
          <w:r>
            <w:tab/>
          </w:r>
          <w:r>
            <w:fldChar w:fldCharType="begin"/>
          </w:r>
          <w:r>
            <w:instrText xml:space="preserve"> PAGEREF _Toc27797 \h </w:instrText>
          </w:r>
          <w:r>
            <w:fldChar w:fldCharType="separate"/>
          </w:r>
          <w:r>
            <w:t>6</w:t>
          </w:r>
          <w:r>
            <w:fldChar w:fldCharType="end"/>
          </w:r>
          <w:r>
            <w:rPr>
              <w:rFonts w:hint="eastAsia"/>
            </w:rPr>
            <w:fldChar w:fldCharType="end"/>
          </w:r>
        </w:p>
        <w:p>
          <w:pPr>
            <w:pStyle w:val="31"/>
            <w:keepNext w:val="0"/>
            <w:keepLines w:val="0"/>
            <w:pageBreakBefore w:val="0"/>
            <w:widowControl w:val="0"/>
            <w:tabs>
              <w:tab w:val="right" w:leader="dot" w:pos="8970"/>
            </w:tabs>
            <w:kinsoku/>
            <w:wordWrap/>
            <w:overflowPunct/>
            <w:topLinePunct w:val="0"/>
            <w:autoSpaceDE w:val="0"/>
            <w:autoSpaceDN w:val="0"/>
            <w:bidi w:val="0"/>
            <w:adjustRightInd w:val="0"/>
            <w:snapToGrid/>
            <w:spacing w:line="240" w:lineRule="auto"/>
            <w:textAlignment w:val="auto"/>
          </w:pPr>
          <w:r>
            <w:rPr>
              <w:rFonts w:hint="eastAsia"/>
            </w:rPr>
            <w:fldChar w:fldCharType="begin"/>
          </w:r>
          <w:r>
            <w:rPr>
              <w:rFonts w:hint="eastAsia"/>
            </w:rPr>
            <w:instrText xml:space="preserve"> HYPERLINK \l _Toc8382 </w:instrText>
          </w:r>
          <w:r>
            <w:rPr>
              <w:rFonts w:hint="eastAsia"/>
            </w:rPr>
            <w:fldChar w:fldCharType="separate"/>
          </w:r>
          <w:r>
            <w:rPr>
              <w:rFonts w:hint="eastAsia"/>
            </w:rPr>
            <w:t>2、海绵城市的建设目标</w:t>
          </w:r>
          <w:r>
            <w:tab/>
          </w:r>
          <w:r>
            <w:fldChar w:fldCharType="begin"/>
          </w:r>
          <w:r>
            <w:instrText xml:space="preserve"> PAGEREF _Toc8382 \h </w:instrText>
          </w:r>
          <w:r>
            <w:fldChar w:fldCharType="separate"/>
          </w:r>
          <w:r>
            <w:t>7</w:t>
          </w:r>
          <w:r>
            <w:fldChar w:fldCharType="end"/>
          </w:r>
          <w:r>
            <w:rPr>
              <w:rFonts w:hint="eastAsia"/>
            </w:rPr>
            <w:fldChar w:fldCharType="end"/>
          </w:r>
        </w:p>
        <w:p>
          <w:pPr>
            <w:pStyle w:val="31"/>
            <w:keepNext w:val="0"/>
            <w:keepLines w:val="0"/>
            <w:pageBreakBefore w:val="0"/>
            <w:widowControl w:val="0"/>
            <w:tabs>
              <w:tab w:val="right" w:leader="dot" w:pos="8970"/>
            </w:tabs>
            <w:kinsoku/>
            <w:wordWrap/>
            <w:overflowPunct/>
            <w:topLinePunct w:val="0"/>
            <w:autoSpaceDE w:val="0"/>
            <w:autoSpaceDN w:val="0"/>
            <w:bidi w:val="0"/>
            <w:adjustRightInd w:val="0"/>
            <w:snapToGrid/>
            <w:spacing w:line="240" w:lineRule="auto"/>
            <w:textAlignment w:val="auto"/>
          </w:pPr>
          <w:r>
            <w:rPr>
              <w:rFonts w:hint="eastAsia"/>
            </w:rPr>
            <w:fldChar w:fldCharType="begin"/>
          </w:r>
          <w:r>
            <w:rPr>
              <w:rFonts w:hint="eastAsia"/>
            </w:rPr>
            <w:instrText xml:space="preserve"> HYPERLINK \l _Toc16949 </w:instrText>
          </w:r>
          <w:r>
            <w:rPr>
              <w:rFonts w:hint="eastAsia"/>
            </w:rPr>
            <w:fldChar w:fldCharType="separate"/>
          </w:r>
          <w:r>
            <w:rPr>
              <w:rFonts w:hint="eastAsia"/>
            </w:rPr>
            <w:t>3、海绵城市的设计</w:t>
          </w:r>
          <w:r>
            <w:tab/>
          </w:r>
          <w:r>
            <w:fldChar w:fldCharType="begin"/>
          </w:r>
          <w:r>
            <w:instrText xml:space="preserve"> PAGEREF _Toc16949 \h </w:instrText>
          </w:r>
          <w:r>
            <w:fldChar w:fldCharType="separate"/>
          </w:r>
          <w:r>
            <w:t>9</w:t>
          </w:r>
          <w:r>
            <w:fldChar w:fldCharType="end"/>
          </w:r>
          <w:r>
            <w:rPr>
              <w:rFonts w:hint="eastAsia"/>
            </w:rPr>
            <w:fldChar w:fldCharType="end"/>
          </w:r>
        </w:p>
        <w:p>
          <w:pPr>
            <w:pStyle w:val="37"/>
            <w:keepNext w:val="0"/>
            <w:keepLines w:val="0"/>
            <w:pageBreakBefore w:val="0"/>
            <w:widowControl w:val="0"/>
            <w:tabs>
              <w:tab w:val="right" w:leader="dot" w:pos="8970"/>
            </w:tabs>
            <w:kinsoku/>
            <w:wordWrap/>
            <w:overflowPunct/>
            <w:topLinePunct w:val="0"/>
            <w:autoSpaceDE w:val="0"/>
            <w:autoSpaceDN w:val="0"/>
            <w:bidi w:val="0"/>
            <w:adjustRightInd w:val="0"/>
            <w:snapToGrid/>
            <w:spacing w:line="240" w:lineRule="auto"/>
            <w:textAlignment w:val="auto"/>
          </w:pPr>
          <w:r>
            <w:rPr>
              <w:rFonts w:hint="eastAsia"/>
            </w:rPr>
            <w:fldChar w:fldCharType="begin"/>
          </w:r>
          <w:r>
            <w:rPr>
              <w:rFonts w:hint="eastAsia"/>
            </w:rPr>
            <w:instrText xml:space="preserve"> HYPERLINK \l _Toc10923 </w:instrText>
          </w:r>
          <w:r>
            <w:rPr>
              <w:rFonts w:hint="eastAsia"/>
            </w:rPr>
            <w:fldChar w:fldCharType="separate"/>
          </w:r>
          <w:r>
            <w:rPr>
              <w:rFonts w:hint="eastAsia"/>
            </w:rPr>
            <w:t>3.1、布置思路</w:t>
          </w:r>
          <w:r>
            <w:tab/>
          </w:r>
          <w:r>
            <w:fldChar w:fldCharType="begin"/>
          </w:r>
          <w:r>
            <w:instrText xml:space="preserve"> PAGEREF _Toc10923 \h </w:instrText>
          </w:r>
          <w:r>
            <w:fldChar w:fldCharType="separate"/>
          </w:r>
          <w:r>
            <w:t>9</w:t>
          </w:r>
          <w:r>
            <w:fldChar w:fldCharType="end"/>
          </w:r>
          <w:r>
            <w:rPr>
              <w:rFonts w:hint="eastAsia"/>
            </w:rPr>
            <w:fldChar w:fldCharType="end"/>
          </w:r>
        </w:p>
        <w:p>
          <w:pPr>
            <w:pStyle w:val="37"/>
            <w:keepNext w:val="0"/>
            <w:keepLines w:val="0"/>
            <w:pageBreakBefore w:val="0"/>
            <w:widowControl w:val="0"/>
            <w:tabs>
              <w:tab w:val="right" w:leader="dot" w:pos="8970"/>
            </w:tabs>
            <w:kinsoku/>
            <w:wordWrap/>
            <w:overflowPunct/>
            <w:topLinePunct w:val="0"/>
            <w:autoSpaceDE w:val="0"/>
            <w:autoSpaceDN w:val="0"/>
            <w:bidi w:val="0"/>
            <w:adjustRightInd w:val="0"/>
            <w:snapToGrid/>
            <w:spacing w:line="240" w:lineRule="auto"/>
            <w:textAlignment w:val="auto"/>
          </w:pPr>
          <w:r>
            <w:rPr>
              <w:rFonts w:hint="eastAsia"/>
            </w:rPr>
            <w:fldChar w:fldCharType="begin"/>
          </w:r>
          <w:r>
            <w:rPr>
              <w:rFonts w:hint="eastAsia"/>
            </w:rPr>
            <w:instrText xml:space="preserve"> HYPERLINK \l _Toc13993 </w:instrText>
          </w:r>
          <w:r>
            <w:rPr>
              <w:rFonts w:hint="eastAsia"/>
            </w:rPr>
            <w:fldChar w:fldCharType="separate"/>
          </w:r>
          <w:r>
            <w:rPr>
              <w:rFonts w:hint="eastAsia"/>
            </w:rPr>
            <w:t>3.2、相关措施</w:t>
          </w:r>
          <w:r>
            <w:tab/>
          </w:r>
          <w:r>
            <w:fldChar w:fldCharType="begin"/>
          </w:r>
          <w:r>
            <w:instrText xml:space="preserve"> PAGEREF _Toc13993 \h </w:instrText>
          </w:r>
          <w:r>
            <w:fldChar w:fldCharType="separate"/>
          </w:r>
          <w:r>
            <w:t>10</w:t>
          </w:r>
          <w:r>
            <w:fldChar w:fldCharType="end"/>
          </w:r>
          <w:r>
            <w:rPr>
              <w:rFonts w:hint="eastAsia"/>
            </w:rPr>
            <w:fldChar w:fldCharType="end"/>
          </w:r>
        </w:p>
        <w:p>
          <w:pPr>
            <w:pStyle w:val="31"/>
            <w:keepNext w:val="0"/>
            <w:keepLines w:val="0"/>
            <w:pageBreakBefore w:val="0"/>
            <w:widowControl w:val="0"/>
            <w:tabs>
              <w:tab w:val="right" w:leader="dot" w:pos="8970"/>
            </w:tabs>
            <w:kinsoku/>
            <w:wordWrap/>
            <w:overflowPunct/>
            <w:topLinePunct w:val="0"/>
            <w:autoSpaceDE w:val="0"/>
            <w:autoSpaceDN w:val="0"/>
            <w:bidi w:val="0"/>
            <w:adjustRightInd w:val="0"/>
            <w:snapToGrid/>
            <w:spacing w:line="240" w:lineRule="auto"/>
            <w:textAlignment w:val="auto"/>
          </w:pPr>
          <w:r>
            <w:rPr>
              <w:rFonts w:hint="eastAsia"/>
            </w:rPr>
            <w:fldChar w:fldCharType="begin"/>
          </w:r>
          <w:r>
            <w:rPr>
              <w:rFonts w:hint="eastAsia"/>
            </w:rPr>
            <w:instrText xml:space="preserve"> HYPERLINK \l _Toc32443 </w:instrText>
          </w:r>
          <w:r>
            <w:rPr>
              <w:rFonts w:hint="eastAsia"/>
            </w:rPr>
            <w:fldChar w:fldCharType="separate"/>
          </w:r>
          <w:r>
            <w:rPr>
              <w:rFonts w:hint="eastAsia"/>
            </w:rPr>
            <w:t>4、海绵城市的计算</w:t>
          </w:r>
          <w:r>
            <w:tab/>
          </w:r>
          <w:r>
            <w:fldChar w:fldCharType="begin"/>
          </w:r>
          <w:r>
            <w:instrText xml:space="preserve"> PAGEREF _Toc32443 \h </w:instrText>
          </w:r>
          <w:r>
            <w:fldChar w:fldCharType="separate"/>
          </w:r>
          <w:r>
            <w:t>11</w:t>
          </w:r>
          <w:r>
            <w:fldChar w:fldCharType="end"/>
          </w:r>
          <w:r>
            <w:rPr>
              <w:rFonts w:hint="eastAsia"/>
            </w:rPr>
            <w:fldChar w:fldCharType="end"/>
          </w:r>
        </w:p>
        <w:p>
          <w:pPr>
            <w:pStyle w:val="37"/>
            <w:keepNext w:val="0"/>
            <w:keepLines w:val="0"/>
            <w:pageBreakBefore w:val="0"/>
            <w:widowControl w:val="0"/>
            <w:tabs>
              <w:tab w:val="right" w:leader="dot" w:pos="8970"/>
            </w:tabs>
            <w:kinsoku/>
            <w:wordWrap/>
            <w:overflowPunct/>
            <w:topLinePunct w:val="0"/>
            <w:autoSpaceDE w:val="0"/>
            <w:autoSpaceDN w:val="0"/>
            <w:bidi w:val="0"/>
            <w:adjustRightInd w:val="0"/>
            <w:snapToGrid/>
            <w:spacing w:line="240" w:lineRule="auto"/>
            <w:textAlignment w:val="auto"/>
          </w:pPr>
          <w:r>
            <w:rPr>
              <w:rFonts w:hint="eastAsia"/>
            </w:rPr>
            <w:fldChar w:fldCharType="begin"/>
          </w:r>
          <w:r>
            <w:rPr>
              <w:rFonts w:hint="eastAsia"/>
            </w:rPr>
            <w:instrText xml:space="preserve"> HYPERLINK \l _Toc28113 </w:instrText>
          </w:r>
          <w:r>
            <w:rPr>
              <w:rFonts w:hint="eastAsia"/>
            </w:rPr>
            <w:fldChar w:fldCharType="separate"/>
          </w:r>
          <w:r>
            <w:rPr>
              <w:rFonts w:hint="eastAsia"/>
            </w:rPr>
            <w:t>4.1、汇水分区的划分</w:t>
          </w:r>
          <w:r>
            <w:tab/>
          </w:r>
          <w:r>
            <w:fldChar w:fldCharType="begin"/>
          </w:r>
          <w:r>
            <w:instrText xml:space="preserve"> PAGEREF _Toc28113 \h </w:instrText>
          </w:r>
          <w:r>
            <w:fldChar w:fldCharType="separate"/>
          </w:r>
          <w:r>
            <w:t>12</w:t>
          </w:r>
          <w:r>
            <w:fldChar w:fldCharType="end"/>
          </w:r>
          <w:r>
            <w:rPr>
              <w:rFonts w:hint="eastAsia"/>
            </w:rPr>
            <w:fldChar w:fldCharType="end"/>
          </w:r>
        </w:p>
        <w:p>
          <w:pPr>
            <w:pStyle w:val="37"/>
            <w:keepNext w:val="0"/>
            <w:keepLines w:val="0"/>
            <w:pageBreakBefore w:val="0"/>
            <w:widowControl w:val="0"/>
            <w:tabs>
              <w:tab w:val="right" w:leader="dot" w:pos="8970"/>
            </w:tabs>
            <w:kinsoku/>
            <w:wordWrap/>
            <w:overflowPunct/>
            <w:topLinePunct w:val="0"/>
            <w:autoSpaceDE w:val="0"/>
            <w:autoSpaceDN w:val="0"/>
            <w:bidi w:val="0"/>
            <w:adjustRightInd w:val="0"/>
            <w:snapToGrid/>
            <w:spacing w:line="240" w:lineRule="auto"/>
            <w:textAlignment w:val="auto"/>
          </w:pPr>
          <w:r>
            <w:rPr>
              <w:rFonts w:hint="eastAsia"/>
            </w:rPr>
            <w:fldChar w:fldCharType="begin"/>
          </w:r>
          <w:r>
            <w:rPr>
              <w:rFonts w:hint="eastAsia"/>
            </w:rPr>
            <w:instrText xml:space="preserve"> HYPERLINK \l _Toc26718 </w:instrText>
          </w:r>
          <w:r>
            <w:rPr>
              <w:rFonts w:hint="eastAsia"/>
            </w:rPr>
            <w:fldChar w:fldCharType="separate"/>
          </w:r>
          <w:r>
            <w:rPr>
              <w:rFonts w:hint="eastAsia"/>
            </w:rPr>
            <w:t>4.2、通过综合雨量径流系数的方法所需的调蓄容积</w:t>
          </w:r>
          <w:r>
            <w:tab/>
          </w:r>
          <w:r>
            <w:fldChar w:fldCharType="begin"/>
          </w:r>
          <w:r>
            <w:instrText xml:space="preserve"> PAGEREF _Toc26718 \h </w:instrText>
          </w:r>
          <w:r>
            <w:fldChar w:fldCharType="separate"/>
          </w:r>
          <w:r>
            <w:t>12</w:t>
          </w:r>
          <w:r>
            <w:fldChar w:fldCharType="end"/>
          </w:r>
          <w:r>
            <w:rPr>
              <w:rFonts w:hint="eastAsia"/>
            </w:rPr>
            <w:fldChar w:fldCharType="end"/>
          </w:r>
        </w:p>
        <w:p>
          <w:pPr>
            <w:pStyle w:val="37"/>
            <w:keepNext w:val="0"/>
            <w:keepLines w:val="0"/>
            <w:pageBreakBefore w:val="0"/>
            <w:widowControl w:val="0"/>
            <w:tabs>
              <w:tab w:val="right" w:leader="dot" w:pos="8970"/>
            </w:tabs>
            <w:kinsoku/>
            <w:wordWrap/>
            <w:overflowPunct/>
            <w:topLinePunct w:val="0"/>
            <w:autoSpaceDE w:val="0"/>
            <w:autoSpaceDN w:val="0"/>
            <w:bidi w:val="0"/>
            <w:adjustRightInd w:val="0"/>
            <w:snapToGrid/>
            <w:spacing w:line="240" w:lineRule="auto"/>
            <w:textAlignment w:val="auto"/>
          </w:pPr>
          <w:r>
            <w:rPr>
              <w:rFonts w:hint="eastAsia"/>
            </w:rPr>
            <w:fldChar w:fldCharType="begin"/>
          </w:r>
          <w:r>
            <w:rPr>
              <w:rFonts w:hint="eastAsia"/>
            </w:rPr>
            <w:instrText xml:space="preserve"> HYPERLINK \l _Toc2111 </w:instrText>
          </w:r>
          <w:r>
            <w:rPr>
              <w:rFonts w:hint="eastAsia"/>
            </w:rPr>
            <w:fldChar w:fldCharType="separate"/>
          </w:r>
          <w:r>
            <w:rPr>
              <w:rFonts w:hint="eastAsia"/>
            </w:rPr>
            <w:t>4.3、雨水调蓄容积校核</w:t>
          </w:r>
          <w:r>
            <w:tab/>
          </w:r>
          <w:r>
            <w:fldChar w:fldCharType="begin"/>
          </w:r>
          <w:r>
            <w:instrText xml:space="preserve"> PAGEREF _Toc2111 \h </w:instrText>
          </w:r>
          <w:r>
            <w:fldChar w:fldCharType="separate"/>
          </w:r>
          <w:r>
            <w:t>16</w:t>
          </w:r>
          <w:r>
            <w:fldChar w:fldCharType="end"/>
          </w:r>
          <w:r>
            <w:rPr>
              <w:rFonts w:hint="eastAsia"/>
            </w:rPr>
            <w:fldChar w:fldCharType="end"/>
          </w:r>
        </w:p>
        <w:p>
          <w:pPr>
            <w:pStyle w:val="37"/>
            <w:keepNext w:val="0"/>
            <w:keepLines w:val="0"/>
            <w:pageBreakBefore w:val="0"/>
            <w:widowControl w:val="0"/>
            <w:tabs>
              <w:tab w:val="right" w:leader="dot" w:pos="8970"/>
            </w:tabs>
            <w:kinsoku/>
            <w:wordWrap/>
            <w:overflowPunct/>
            <w:topLinePunct w:val="0"/>
            <w:autoSpaceDE w:val="0"/>
            <w:autoSpaceDN w:val="0"/>
            <w:bidi w:val="0"/>
            <w:adjustRightInd w:val="0"/>
            <w:snapToGrid/>
            <w:spacing w:line="240" w:lineRule="auto"/>
            <w:textAlignment w:val="auto"/>
          </w:pPr>
          <w:r>
            <w:rPr>
              <w:rFonts w:hint="eastAsia"/>
            </w:rPr>
            <w:fldChar w:fldCharType="begin"/>
          </w:r>
          <w:r>
            <w:rPr>
              <w:rFonts w:hint="eastAsia"/>
            </w:rPr>
            <w:instrText xml:space="preserve"> HYPERLINK \l _Toc1329 </w:instrText>
          </w:r>
          <w:r>
            <w:rPr>
              <w:rFonts w:hint="eastAsia"/>
            </w:rPr>
            <w:fldChar w:fldCharType="separate"/>
          </w:r>
          <w:r>
            <w:rPr>
              <w:rFonts w:hint="eastAsia"/>
            </w:rPr>
            <w:t>4.4、年径流总量控制率校核</w:t>
          </w:r>
          <w:r>
            <w:tab/>
          </w:r>
          <w:r>
            <w:fldChar w:fldCharType="begin"/>
          </w:r>
          <w:r>
            <w:instrText xml:space="preserve"> PAGEREF _Toc1329 \h </w:instrText>
          </w:r>
          <w:r>
            <w:fldChar w:fldCharType="separate"/>
          </w:r>
          <w:r>
            <w:t>16</w:t>
          </w:r>
          <w:r>
            <w:fldChar w:fldCharType="end"/>
          </w:r>
          <w:r>
            <w:rPr>
              <w:rFonts w:hint="eastAsia"/>
            </w:rPr>
            <w:fldChar w:fldCharType="end"/>
          </w:r>
        </w:p>
        <w:p>
          <w:pPr>
            <w:pStyle w:val="37"/>
            <w:keepNext w:val="0"/>
            <w:keepLines w:val="0"/>
            <w:pageBreakBefore w:val="0"/>
            <w:widowControl w:val="0"/>
            <w:tabs>
              <w:tab w:val="right" w:leader="dot" w:pos="8970"/>
            </w:tabs>
            <w:kinsoku/>
            <w:wordWrap/>
            <w:overflowPunct/>
            <w:topLinePunct w:val="0"/>
            <w:autoSpaceDE w:val="0"/>
            <w:autoSpaceDN w:val="0"/>
            <w:bidi w:val="0"/>
            <w:adjustRightInd w:val="0"/>
            <w:snapToGrid/>
            <w:spacing w:line="240" w:lineRule="auto"/>
            <w:textAlignment w:val="auto"/>
          </w:pPr>
          <w:r>
            <w:rPr>
              <w:rFonts w:hint="eastAsia"/>
            </w:rPr>
            <w:fldChar w:fldCharType="begin"/>
          </w:r>
          <w:r>
            <w:rPr>
              <w:rFonts w:hint="eastAsia"/>
            </w:rPr>
            <w:instrText xml:space="preserve"> HYPERLINK \l _Toc5901 </w:instrText>
          </w:r>
          <w:r>
            <w:rPr>
              <w:rFonts w:hint="eastAsia"/>
            </w:rPr>
            <w:fldChar w:fldCharType="separate"/>
          </w:r>
          <w:r>
            <w:rPr>
              <w:rFonts w:hint="eastAsia"/>
            </w:rPr>
            <w:t>4.</w:t>
          </w:r>
          <w:r>
            <w:rPr>
              <w:rFonts w:hint="eastAsia"/>
              <w:lang w:val="en-US" w:eastAsia="zh-CN"/>
            </w:rPr>
            <w:t>5</w:t>
          </w:r>
          <w:r>
            <w:rPr>
              <w:rFonts w:hint="eastAsia"/>
            </w:rPr>
            <w:t>、</w:t>
          </w:r>
          <w:r>
            <w:rPr>
              <w:rFonts w:hint="eastAsia"/>
              <w:highlight w:val="none"/>
            </w:rPr>
            <w:t>径流污染消减率核算</w:t>
          </w:r>
          <w:r>
            <w:tab/>
          </w:r>
          <w:r>
            <w:fldChar w:fldCharType="begin"/>
          </w:r>
          <w:r>
            <w:instrText xml:space="preserve"> PAGEREF _Toc5901 \h </w:instrText>
          </w:r>
          <w:r>
            <w:fldChar w:fldCharType="separate"/>
          </w:r>
          <w:r>
            <w:t>17</w:t>
          </w:r>
          <w:r>
            <w:fldChar w:fldCharType="end"/>
          </w:r>
          <w:r>
            <w:rPr>
              <w:rFonts w:hint="eastAsia"/>
            </w:rPr>
            <w:fldChar w:fldCharType="end"/>
          </w:r>
        </w:p>
        <w:p>
          <w:pPr>
            <w:pStyle w:val="31"/>
            <w:keepNext w:val="0"/>
            <w:keepLines w:val="0"/>
            <w:pageBreakBefore w:val="0"/>
            <w:widowControl w:val="0"/>
            <w:tabs>
              <w:tab w:val="right" w:leader="dot" w:pos="8970"/>
            </w:tabs>
            <w:kinsoku/>
            <w:wordWrap/>
            <w:overflowPunct/>
            <w:topLinePunct w:val="0"/>
            <w:autoSpaceDE w:val="0"/>
            <w:autoSpaceDN w:val="0"/>
            <w:bidi w:val="0"/>
            <w:adjustRightInd w:val="0"/>
            <w:snapToGrid/>
            <w:spacing w:line="240" w:lineRule="auto"/>
            <w:textAlignment w:val="auto"/>
          </w:pPr>
          <w:r>
            <w:rPr>
              <w:rFonts w:hint="eastAsia"/>
            </w:rPr>
            <w:fldChar w:fldCharType="begin"/>
          </w:r>
          <w:r>
            <w:rPr>
              <w:rFonts w:hint="eastAsia"/>
            </w:rPr>
            <w:instrText xml:space="preserve"> HYPERLINK \l _Toc11284 </w:instrText>
          </w:r>
          <w:r>
            <w:rPr>
              <w:rFonts w:hint="eastAsia"/>
            </w:rPr>
            <w:fldChar w:fldCharType="separate"/>
          </w:r>
          <w:r>
            <w:rPr>
              <w:rFonts w:hint="eastAsia"/>
              <w:lang w:val="en-US" w:eastAsia="zh-CN"/>
            </w:rPr>
            <w:t>5</w:t>
          </w:r>
          <w:r>
            <w:rPr>
              <w:rFonts w:hint="eastAsia"/>
            </w:rPr>
            <w:t>、维护管理</w:t>
          </w:r>
          <w:r>
            <w:tab/>
          </w:r>
          <w:r>
            <w:fldChar w:fldCharType="begin"/>
          </w:r>
          <w:r>
            <w:instrText xml:space="preserve"> PAGEREF _Toc11284 \h </w:instrText>
          </w:r>
          <w:r>
            <w:fldChar w:fldCharType="separate"/>
          </w:r>
          <w:r>
            <w:t>19</w:t>
          </w:r>
          <w:r>
            <w:fldChar w:fldCharType="end"/>
          </w:r>
          <w:r>
            <w:rPr>
              <w:rFonts w:hint="eastAsia"/>
            </w:rPr>
            <w:fldChar w:fldCharType="end"/>
          </w:r>
        </w:p>
        <w:p>
          <w:pPr>
            <w:pStyle w:val="37"/>
            <w:keepNext w:val="0"/>
            <w:keepLines w:val="0"/>
            <w:pageBreakBefore w:val="0"/>
            <w:widowControl w:val="0"/>
            <w:tabs>
              <w:tab w:val="right" w:leader="dot" w:pos="8970"/>
            </w:tabs>
            <w:kinsoku/>
            <w:wordWrap/>
            <w:overflowPunct/>
            <w:topLinePunct w:val="0"/>
            <w:autoSpaceDE w:val="0"/>
            <w:autoSpaceDN w:val="0"/>
            <w:bidi w:val="0"/>
            <w:adjustRightInd w:val="0"/>
            <w:snapToGrid/>
            <w:spacing w:line="240" w:lineRule="auto"/>
            <w:textAlignment w:val="auto"/>
          </w:pPr>
          <w:r>
            <w:rPr>
              <w:rFonts w:hint="eastAsia"/>
            </w:rPr>
            <w:fldChar w:fldCharType="begin"/>
          </w:r>
          <w:r>
            <w:rPr>
              <w:rFonts w:hint="eastAsia"/>
            </w:rPr>
            <w:instrText xml:space="preserve"> HYPERLINK \l _Toc7963 </w:instrText>
          </w:r>
          <w:r>
            <w:rPr>
              <w:rFonts w:hint="eastAsia"/>
            </w:rPr>
            <w:fldChar w:fldCharType="separate"/>
          </w:r>
          <w:r>
            <w:rPr>
              <w:rFonts w:hint="eastAsia"/>
              <w:lang w:val="en-US" w:eastAsia="zh-CN"/>
            </w:rPr>
            <w:t>5</w:t>
          </w:r>
          <w:r>
            <w:rPr>
              <w:rFonts w:hint="eastAsia"/>
            </w:rPr>
            <w:t>.1基本要求</w:t>
          </w:r>
          <w:r>
            <w:tab/>
          </w:r>
          <w:r>
            <w:fldChar w:fldCharType="begin"/>
          </w:r>
          <w:r>
            <w:instrText xml:space="preserve"> PAGEREF _Toc7963 \h </w:instrText>
          </w:r>
          <w:r>
            <w:fldChar w:fldCharType="separate"/>
          </w:r>
          <w:r>
            <w:t>19</w:t>
          </w:r>
          <w:r>
            <w:fldChar w:fldCharType="end"/>
          </w:r>
          <w:r>
            <w:rPr>
              <w:rFonts w:hint="eastAsia"/>
            </w:rPr>
            <w:fldChar w:fldCharType="end"/>
          </w:r>
        </w:p>
        <w:p>
          <w:pPr>
            <w:pStyle w:val="37"/>
            <w:keepNext w:val="0"/>
            <w:keepLines w:val="0"/>
            <w:pageBreakBefore w:val="0"/>
            <w:widowControl w:val="0"/>
            <w:tabs>
              <w:tab w:val="right" w:leader="dot" w:pos="8970"/>
            </w:tabs>
            <w:kinsoku/>
            <w:wordWrap/>
            <w:overflowPunct/>
            <w:topLinePunct w:val="0"/>
            <w:autoSpaceDE w:val="0"/>
            <w:autoSpaceDN w:val="0"/>
            <w:bidi w:val="0"/>
            <w:adjustRightInd w:val="0"/>
            <w:snapToGrid/>
            <w:spacing w:line="240" w:lineRule="auto"/>
            <w:textAlignment w:val="auto"/>
          </w:pPr>
          <w:r>
            <w:rPr>
              <w:rFonts w:hint="eastAsia"/>
            </w:rPr>
            <w:fldChar w:fldCharType="begin"/>
          </w:r>
          <w:r>
            <w:rPr>
              <w:rFonts w:hint="eastAsia"/>
            </w:rPr>
            <w:instrText xml:space="preserve"> HYPERLINK \l _Toc14817 </w:instrText>
          </w:r>
          <w:r>
            <w:rPr>
              <w:rFonts w:hint="eastAsia"/>
            </w:rPr>
            <w:fldChar w:fldCharType="separate"/>
          </w:r>
          <w:r>
            <w:rPr>
              <w:rFonts w:hint="eastAsia"/>
              <w:lang w:val="en-US" w:eastAsia="zh-CN"/>
            </w:rPr>
            <w:t>5</w:t>
          </w:r>
          <w:r>
            <w:rPr>
              <w:rFonts w:hint="eastAsia"/>
            </w:rPr>
            <w:t>.2设施维护</w:t>
          </w:r>
          <w:r>
            <w:tab/>
          </w:r>
          <w:r>
            <w:fldChar w:fldCharType="begin"/>
          </w:r>
          <w:r>
            <w:instrText xml:space="preserve"> PAGEREF _Toc14817 \h </w:instrText>
          </w:r>
          <w:r>
            <w:fldChar w:fldCharType="separate"/>
          </w:r>
          <w:r>
            <w:t>19</w:t>
          </w:r>
          <w:r>
            <w:fldChar w:fldCharType="end"/>
          </w:r>
          <w:r>
            <w:rPr>
              <w:rFonts w:hint="eastAsia"/>
            </w:rPr>
            <w:fldChar w:fldCharType="end"/>
          </w:r>
        </w:p>
        <w:p>
          <w:pPr>
            <w:pStyle w:val="31"/>
            <w:keepNext w:val="0"/>
            <w:keepLines w:val="0"/>
            <w:pageBreakBefore w:val="0"/>
            <w:widowControl w:val="0"/>
            <w:tabs>
              <w:tab w:val="right" w:leader="dot" w:pos="8970"/>
            </w:tabs>
            <w:kinsoku/>
            <w:wordWrap/>
            <w:overflowPunct/>
            <w:topLinePunct w:val="0"/>
            <w:autoSpaceDE w:val="0"/>
            <w:autoSpaceDN w:val="0"/>
            <w:bidi w:val="0"/>
            <w:adjustRightInd w:val="0"/>
            <w:snapToGrid/>
            <w:spacing w:line="240" w:lineRule="auto"/>
            <w:textAlignment w:val="auto"/>
          </w:pPr>
          <w:r>
            <w:rPr>
              <w:rFonts w:hint="eastAsia"/>
            </w:rPr>
            <w:fldChar w:fldCharType="begin"/>
          </w:r>
          <w:r>
            <w:rPr>
              <w:rFonts w:hint="eastAsia"/>
            </w:rPr>
            <w:instrText xml:space="preserve"> HYPERLINK \l _Toc12146 </w:instrText>
          </w:r>
          <w:r>
            <w:rPr>
              <w:rFonts w:hint="eastAsia"/>
            </w:rPr>
            <w:fldChar w:fldCharType="separate"/>
          </w:r>
          <w:r>
            <w:rPr>
              <w:rFonts w:hint="eastAsia" w:eastAsia="宋体"/>
              <w:szCs w:val="36"/>
              <w:lang w:val="en-US" w:eastAsia="zh-CN"/>
            </w:rPr>
            <w:t>6</w:t>
          </w:r>
          <w:r>
            <w:rPr>
              <w:rFonts w:hint="eastAsia"/>
              <w:szCs w:val="36"/>
            </w:rPr>
            <w:t>.海绵设施建设成本估算</w:t>
          </w:r>
          <w:r>
            <w:tab/>
          </w:r>
          <w:r>
            <w:fldChar w:fldCharType="begin"/>
          </w:r>
          <w:r>
            <w:instrText xml:space="preserve"> PAGEREF _Toc12146 \h </w:instrText>
          </w:r>
          <w:r>
            <w:fldChar w:fldCharType="separate"/>
          </w:r>
          <w:r>
            <w:t>19</w:t>
          </w:r>
          <w:r>
            <w:fldChar w:fldCharType="end"/>
          </w:r>
          <w:r>
            <w:rPr>
              <w:rFonts w:hint="eastAsia"/>
            </w:rPr>
            <w:fldChar w:fldCharType="end"/>
          </w:r>
        </w:p>
        <w:p>
          <w:pPr>
            <w:pStyle w:val="37"/>
            <w:keepNext w:val="0"/>
            <w:keepLines w:val="0"/>
            <w:pageBreakBefore w:val="0"/>
            <w:widowControl w:val="0"/>
            <w:tabs>
              <w:tab w:val="right" w:leader="dot" w:pos="8970"/>
            </w:tabs>
            <w:kinsoku/>
            <w:wordWrap/>
            <w:overflowPunct/>
            <w:topLinePunct w:val="0"/>
            <w:autoSpaceDE w:val="0"/>
            <w:autoSpaceDN w:val="0"/>
            <w:bidi w:val="0"/>
            <w:adjustRightInd w:val="0"/>
            <w:snapToGrid/>
            <w:spacing w:before="156" w:after="156" w:line="240" w:lineRule="auto"/>
            <w:ind w:left="480" w:firstLine="480"/>
            <w:textAlignment w:val="auto"/>
          </w:pPr>
          <w:r>
            <w:rPr>
              <w:rFonts w:hint="eastAsia"/>
            </w:rPr>
            <w:fldChar w:fldCharType="end"/>
          </w:r>
        </w:p>
      </w:sdtContent>
    </w:sdt>
    <w:bookmarkEnd w:id="0"/>
    <w:bookmarkEnd w:id="1"/>
    <w:p>
      <w:pPr>
        <w:pStyle w:val="3"/>
        <w:spacing w:before="156" w:after="156"/>
        <w:rPr>
          <w:color w:val="auto"/>
        </w:rPr>
        <w:sectPr>
          <w:headerReference r:id="rId5" w:type="default"/>
          <w:footerReference r:id="rId6" w:type="default"/>
          <w:pgSz w:w="11850" w:h="16783"/>
          <w:pgMar w:top="1440" w:right="1440" w:bottom="1440" w:left="1440" w:header="851" w:footer="992" w:gutter="0"/>
          <w:pgNumType w:start="1"/>
          <w:cols w:space="425" w:num="1"/>
          <w:docGrid w:type="lines" w:linePitch="312" w:charSpace="0"/>
        </w:sectPr>
      </w:pPr>
      <w:bookmarkStart w:id="4" w:name="_Toc408835173"/>
      <w:bookmarkStart w:id="5" w:name="_Toc527731083"/>
      <w:bookmarkStart w:id="6" w:name="_Toc1733382"/>
      <w:bookmarkStart w:id="7" w:name="_Toc17831"/>
    </w:p>
    <w:p>
      <w:pPr>
        <w:pStyle w:val="3"/>
        <w:spacing w:before="156" w:after="156"/>
        <w:rPr>
          <w:color w:val="auto"/>
        </w:rPr>
      </w:pPr>
      <w:bookmarkStart w:id="8" w:name="_Toc10563"/>
      <w:r>
        <w:rPr>
          <w:rFonts w:hint="eastAsia"/>
          <w:color w:val="auto"/>
        </w:rPr>
        <w:t>1、项目概况</w:t>
      </w:r>
      <w:bookmarkEnd w:id="4"/>
      <w:bookmarkEnd w:id="5"/>
      <w:r>
        <w:rPr>
          <w:rFonts w:hint="eastAsia"/>
          <w:color w:val="auto"/>
        </w:rPr>
        <w:t>及设计依据</w:t>
      </w:r>
      <w:bookmarkEnd w:id="6"/>
      <w:bookmarkEnd w:id="7"/>
      <w:bookmarkEnd w:id="8"/>
    </w:p>
    <w:p>
      <w:pPr>
        <w:pStyle w:val="4"/>
        <w:spacing w:before="156" w:after="156"/>
      </w:pPr>
      <w:bookmarkStart w:id="9" w:name="_Toc21351"/>
      <w:r>
        <w:rPr>
          <w:rFonts w:hint="eastAsia"/>
        </w:rPr>
        <w:t>1.1、项目概况</w:t>
      </w:r>
      <w:bookmarkEnd w:id="9"/>
    </w:p>
    <w:p>
      <w:pPr>
        <w:spacing w:before="156" w:after="156" w:line="360" w:lineRule="auto"/>
        <w:ind w:firstLine="480"/>
        <w:rPr>
          <w:rFonts w:hint="default" w:hAnsi="宋体" w:eastAsia="宋体"/>
          <w:lang w:val="en-US" w:eastAsia="zh-CN"/>
        </w:rPr>
      </w:pPr>
      <w:bookmarkStart w:id="10" w:name="_Toc527731084"/>
      <w:r>
        <w:rPr>
          <w:rFonts w:hint="eastAsia" w:hAnsi="宋体"/>
        </w:rPr>
        <w:t>建设地点：本项目广东南华工商职业学院清远校区二期</w:t>
      </w:r>
      <w:r>
        <w:rPr>
          <w:rFonts w:hint="eastAsia" w:hAnsi="宋体"/>
          <w:lang w:val="en-US" w:eastAsia="zh-CN"/>
        </w:rPr>
        <w:t>位于</w:t>
      </w:r>
      <w:r>
        <w:rPr>
          <w:rFonts w:hint="eastAsia" w:asciiTheme="minorEastAsia" w:hAnsiTheme="minorEastAsia" w:cstheme="minorEastAsia"/>
          <w:sz w:val="24"/>
          <w:szCs w:val="24"/>
          <w:lang w:eastAsia="zh-CN"/>
        </w:rPr>
        <w:t>清远市清城区东城街道J47号区内</w:t>
      </w:r>
      <w:r>
        <w:rPr>
          <w:rFonts w:hint="eastAsia" w:hAnsi="宋体"/>
          <w:lang w:val="en-US" w:eastAsia="zh-CN"/>
        </w:rPr>
        <w:t>。</w:t>
      </w:r>
    </w:p>
    <w:p>
      <w:pPr>
        <w:spacing w:before="156" w:after="156" w:line="360" w:lineRule="auto"/>
        <w:ind w:firstLine="480"/>
        <w:rPr>
          <w:rFonts w:hint="default" w:hAnsi="宋体" w:eastAsia="宋体"/>
          <w:lang w:val="en-US" w:eastAsia="zh-CN"/>
        </w:rPr>
      </w:pPr>
      <w:r>
        <w:rPr>
          <w:rFonts w:hint="eastAsia" w:hAnsi="宋体"/>
        </w:rPr>
        <w:t>建设规模：本项目广东南华工商职业学院清远校区二期</w:t>
      </w:r>
      <w:r>
        <w:rPr>
          <w:rFonts w:hint="eastAsia" w:hAnsi="宋体"/>
          <w:lang w:val="en-US" w:eastAsia="zh-CN"/>
        </w:rPr>
        <w:t>位于</w:t>
      </w:r>
      <w:r>
        <w:rPr>
          <w:rFonts w:hint="eastAsia" w:asciiTheme="minorEastAsia" w:hAnsiTheme="minorEastAsia" w:cstheme="minorEastAsia"/>
          <w:sz w:val="24"/>
          <w:szCs w:val="24"/>
          <w:lang w:eastAsia="zh-CN"/>
        </w:rPr>
        <w:t>清远市清城区东城街道J47号区内</w:t>
      </w:r>
      <w:r>
        <w:rPr>
          <w:rFonts w:hint="eastAsia" w:hAnsi="宋体"/>
          <w:lang w:val="en-US" w:eastAsia="zh-CN"/>
        </w:rPr>
        <w:t>。本次设计范围内，</w:t>
      </w:r>
      <w:r>
        <w:rPr>
          <w:rFonts w:hint="eastAsia" w:hAnsi="宋体"/>
        </w:rPr>
        <w:t>项目用地总用地面积为</w:t>
      </w:r>
      <w:r>
        <w:rPr>
          <w:rFonts w:hint="eastAsia" w:hAnsi="宋体"/>
          <w:lang w:val="en-US" w:eastAsia="zh-CN"/>
        </w:rPr>
        <w:t>82927</w:t>
      </w:r>
      <w:r>
        <w:rPr>
          <w:rFonts w:hint="eastAsia" w:hAnsi="宋体"/>
        </w:rPr>
        <w:t>方米，</w:t>
      </w:r>
      <w:r>
        <w:rPr>
          <w:rFonts w:hint="eastAsia" w:hAnsi="宋体"/>
          <w:lang w:val="en-US" w:eastAsia="zh-CN"/>
        </w:rPr>
        <w:t>绿地面积为16946平方米。</w:t>
      </w:r>
    </w:p>
    <w:bookmarkEnd w:id="10"/>
    <w:p>
      <w:pPr>
        <w:pStyle w:val="4"/>
        <w:spacing w:before="156" w:after="156"/>
      </w:pPr>
      <w:bookmarkStart w:id="11" w:name="_Toc27104"/>
      <w:bookmarkStart w:id="12" w:name="_Toc527731085"/>
      <w:bookmarkStart w:id="13" w:name="_Toc28522"/>
      <w:r>
        <w:rPr>
          <w:rFonts w:hint="eastAsia"/>
        </w:rPr>
        <w:t>1.2、自然环境简况</w:t>
      </w:r>
      <w:bookmarkEnd w:id="11"/>
    </w:p>
    <w:p>
      <w:pPr>
        <w:spacing w:before="156" w:after="156" w:line="360" w:lineRule="auto"/>
        <w:ind w:firstLine="480"/>
        <w:rPr>
          <w:rFonts w:hint="eastAsia" w:hAnsi="宋体"/>
          <w:lang w:val="en-US" w:eastAsia="zh-CN"/>
        </w:rPr>
      </w:pPr>
      <w:r>
        <w:rPr>
          <w:rFonts w:hint="eastAsia" w:hAnsi="宋体"/>
        </w:rPr>
        <w:t xml:space="preserve">1.2.1 </w:t>
      </w:r>
      <w:r>
        <w:rPr>
          <w:rFonts w:hint="eastAsia" w:hAnsi="宋体"/>
          <w:lang w:val="en-US" w:eastAsia="zh-CN"/>
        </w:rPr>
        <w:t>基本概况</w:t>
      </w:r>
    </w:p>
    <w:p>
      <w:pPr>
        <w:spacing w:before="156" w:after="156" w:line="360" w:lineRule="auto"/>
        <w:ind w:firstLine="480"/>
        <w:rPr>
          <w:rFonts w:hint="eastAsia" w:hAnsi="宋体"/>
        </w:rPr>
      </w:pPr>
      <w:r>
        <w:rPr>
          <w:rFonts w:hint="eastAsia" w:hAnsi="宋体"/>
        </w:rPr>
        <w:t>清远市，位于东经111°55′至113°55′，北纬23°31′至25°12′之间，地处广东省西北部，北回归线北侧附近，为北江中下游、南岭山脉南侧与珠江三角洲的结合部。南连广州、佛山，北接湖南、广西，西邻广西，西及西南与肇庆、佛山为界，东及东北与韶关市相邻，是珠江三角洲与粤北山区的结合部，也是岭南通往中原的重要纽带，有“三省通衢，北江要塞”之称，拥有优越的自然生态环境，是珠江三角洲的重要</w:t>
      </w:r>
      <w:bookmarkStart w:id="14" w:name="baidusnap2"/>
      <w:bookmarkEnd w:id="14"/>
      <w:r>
        <w:rPr>
          <w:rFonts w:hint="eastAsia" w:hAnsi="宋体"/>
        </w:rPr>
        <w:t>生态屏障。南北距离190km，东西相距230 km，总面积19153 km2，占全省总面积的十分之一，是目前广东省面积最大的地级市。</w:t>
      </w:r>
    </w:p>
    <w:p>
      <w:pPr>
        <w:spacing w:before="156" w:after="156" w:line="360" w:lineRule="auto"/>
        <w:ind w:firstLine="480"/>
        <w:rPr>
          <w:rFonts w:hint="eastAsia" w:hAnsi="宋体"/>
        </w:rPr>
      </w:pPr>
      <w:r>
        <w:rPr>
          <w:rFonts w:hint="eastAsia" w:hAnsi="宋体"/>
        </w:rPr>
        <w:t>清城区位于广东省中部，清远市最南端，北江中下游，毗邻广州市的花都区、三水区和清远市的佛冈县、清新县。地理位置优越，南距广州市区60公里，距广州国际机场28公里，属广州1小时经济生活圈和珠三角2小时经济生活圈范围。区内道路交通网络日趋完善，京广铁路、武广铁路、广清高速公路、107国道等纵贯南北，并与大、小北江航道组成四通八达的水陆交通网络。</w:t>
      </w:r>
    </w:p>
    <w:p>
      <w:pPr>
        <w:spacing w:before="156" w:after="156" w:line="360" w:lineRule="auto"/>
        <w:ind w:firstLine="480"/>
        <w:rPr>
          <w:rFonts w:hint="eastAsia" w:hAnsi="宋体"/>
        </w:rPr>
      </w:pPr>
      <w:r>
        <w:rPr>
          <w:rFonts w:hint="eastAsia" w:hAnsi="宋体"/>
        </w:rPr>
        <w:t>石角镇，位于清远市最南端，珠三角开放区的最北端。地处清远、广州、佛山三市的交汇点，石角镇拥有发达的交通通讯网络，距清远市区20km、广州50km、佛山60km，属三市一小时车程生活圈范围，甚称投资的“金三角”。清三公路、原清广公路以及水深开阔的北江河贯穿全镇东西南北，镇内道路纵横交错，四通八达，水陆交通相当便利，为项目的建设和发展创造了良好的条件。</w:t>
      </w:r>
    </w:p>
    <w:p>
      <w:pPr>
        <w:spacing w:before="156" w:after="156" w:line="360" w:lineRule="auto"/>
        <w:ind w:firstLine="480"/>
        <w:rPr>
          <w:rFonts w:hAnsi="宋体"/>
        </w:rPr>
      </w:pPr>
      <w:r>
        <w:rPr>
          <w:rFonts w:hint="eastAsia" w:hAnsi="宋体"/>
        </w:rPr>
        <w:t>1.2.2 地形形貌</w:t>
      </w:r>
    </w:p>
    <w:p>
      <w:pPr>
        <w:spacing w:before="156" w:after="156" w:line="360" w:lineRule="auto"/>
        <w:ind w:firstLine="480"/>
        <w:rPr>
          <w:rFonts w:hint="eastAsia" w:hAnsi="宋体"/>
        </w:rPr>
      </w:pPr>
      <w:r>
        <w:rPr>
          <w:rFonts w:hint="eastAsia" w:hAnsi="宋体"/>
        </w:rPr>
        <w:t>清远境内地质绝大部分位于湘粤褶皱带，只有市区南部和阳山南部局部地区处于华夏活华陆台的粤西地块，岩石主要是石灰岩、红色砂砾岩、石英砂岩、花岗岩四大岩类。地势西北高、东南低，兼有平原、丘陵、山地和喀斯特地形的多样性地貌。全市土地地貌类型以山地、丘陵为主，山地面积占42.8%、丘陵占37.1%、平原占17.1%。</w:t>
      </w:r>
    </w:p>
    <w:p>
      <w:pPr>
        <w:spacing w:before="156" w:after="156" w:line="360" w:lineRule="auto"/>
        <w:ind w:firstLine="480"/>
        <w:rPr>
          <w:rFonts w:hint="eastAsia" w:hAnsi="宋体"/>
        </w:rPr>
      </w:pPr>
      <w:r>
        <w:rPr>
          <w:rFonts w:hint="eastAsia" w:hAnsi="宋体"/>
        </w:rPr>
        <w:t>北部多为海拔800-1400米以上的山区，海拔1000米以上的山峰达198座。阳山境内的石坑空山，海拔1902米，是广东省最高峰。东南部为地势较低的丘陵、平原，平原以清新县为例，高程约8米。</w:t>
      </w:r>
    </w:p>
    <w:p>
      <w:pPr>
        <w:spacing w:before="156" w:after="156" w:line="360" w:lineRule="auto"/>
        <w:ind w:firstLine="480"/>
        <w:rPr>
          <w:rFonts w:hint="eastAsia" w:hAnsi="宋体"/>
        </w:rPr>
      </w:pPr>
      <w:r>
        <w:rPr>
          <w:rFonts w:hint="eastAsia" w:hAnsi="宋体"/>
        </w:rPr>
        <w:t>项目选址区域（清城区）地形平坦，地势开阔，属于珠江三角洲冲击平原的边缘。该地区以沉积岩为主，源谭镇和银盏一带分布燕山期花岗岩。项目所在地中部尤其是新城区以中生代陆生相碎屑沉积岩为主，东西两侧分布古生代沉积岩。沿北江及其支流两岸，属于河谷冲击平原，主要为第四系松软土分布区，多辟为良田。项目周围地形平坦开阔，地形起伏很小，适合大气污染物的稀释扩散。</w:t>
      </w:r>
    </w:p>
    <w:p>
      <w:pPr>
        <w:keepNext w:val="0"/>
        <w:keepLines w:val="0"/>
        <w:pageBreakBefore w:val="0"/>
        <w:widowControl w:val="0"/>
        <w:kinsoku/>
        <w:wordWrap/>
        <w:overflowPunct/>
        <w:topLinePunct w:val="0"/>
        <w:autoSpaceDE w:val="0"/>
        <w:autoSpaceDN w:val="0"/>
        <w:bidi w:val="0"/>
        <w:adjustRightInd w:val="0"/>
        <w:snapToGrid/>
        <w:spacing w:before="156" w:after="156" w:line="240" w:lineRule="auto"/>
        <w:ind w:firstLine="480"/>
        <w:textAlignment w:val="auto"/>
        <w:rPr>
          <w:rFonts w:hAnsi="宋体"/>
        </w:rPr>
      </w:pPr>
      <w:r>
        <w:rPr>
          <w:rFonts w:hint="eastAsia" w:hAnsi="宋体"/>
        </w:rPr>
        <w:t xml:space="preserve"> 1.2.3 气候特征</w:t>
      </w:r>
    </w:p>
    <w:p>
      <w:pPr>
        <w:spacing w:before="156" w:after="156" w:line="360" w:lineRule="auto"/>
        <w:ind w:firstLine="480"/>
        <w:rPr>
          <w:rFonts w:hint="eastAsia" w:hAnsi="宋体"/>
        </w:rPr>
      </w:pPr>
      <w:r>
        <w:rPr>
          <w:rFonts w:hint="eastAsia" w:hAnsi="宋体"/>
        </w:rPr>
        <w:t>按照气候分类，属南</w:t>
      </w:r>
      <w:r>
        <w:rPr>
          <w:rFonts w:hint="eastAsia" w:hAnsi="宋体"/>
        </w:rPr>
        <w:fldChar w:fldCharType="begin"/>
      </w:r>
      <w:r>
        <w:rPr>
          <w:rFonts w:hint="eastAsia" w:hAnsi="宋体"/>
        </w:rPr>
        <w:instrText xml:space="preserve"> HYPERLINK "https://baike.so.com/doc/5511439-5747192.html" \t "https://baike.so.com/doc/_blank" </w:instrText>
      </w:r>
      <w:r>
        <w:rPr>
          <w:rFonts w:hint="eastAsia" w:hAnsi="宋体"/>
        </w:rPr>
        <w:fldChar w:fldCharType="separate"/>
      </w:r>
      <w:r>
        <w:rPr>
          <w:rFonts w:hint="eastAsia" w:hAnsi="宋体"/>
        </w:rPr>
        <w:t>亚热带季风气候</w:t>
      </w:r>
      <w:r>
        <w:rPr>
          <w:rFonts w:hint="eastAsia" w:hAnsi="宋体"/>
        </w:rPr>
        <w:fldChar w:fldCharType="end"/>
      </w:r>
      <w:r>
        <w:rPr>
          <w:rFonts w:hint="eastAsia" w:hAnsi="宋体"/>
        </w:rPr>
        <w:t>带，</w:t>
      </w:r>
      <w:r>
        <w:rPr>
          <w:rFonts w:hint="eastAsia" w:hAnsi="宋体"/>
        </w:rPr>
        <w:fldChar w:fldCharType="begin"/>
      </w:r>
      <w:r>
        <w:rPr>
          <w:rFonts w:hint="eastAsia" w:hAnsi="宋体"/>
        </w:rPr>
        <w:instrText xml:space="preserve"> HYPERLINK "https://baike.so.com/doc/3275265-3450478.html" \t "https://baike.so.com/doc/_blank" </w:instrText>
      </w:r>
      <w:r>
        <w:rPr>
          <w:rFonts w:hint="eastAsia" w:hAnsi="宋体"/>
        </w:rPr>
        <w:fldChar w:fldCharType="separate"/>
      </w:r>
      <w:r>
        <w:rPr>
          <w:rFonts w:hint="eastAsia" w:hAnsi="宋体"/>
        </w:rPr>
        <w:t>海洋性气候</w:t>
      </w:r>
      <w:r>
        <w:rPr>
          <w:rFonts w:hint="eastAsia" w:hAnsi="宋体"/>
        </w:rPr>
        <w:fldChar w:fldCharType="end"/>
      </w:r>
      <w:r>
        <w:rPr>
          <w:rFonts w:hint="eastAsia" w:hAnsi="宋体"/>
        </w:rPr>
        <w:t>明显，夏无酷暑，冬无严寒，夏长冬短，无霜期长，日照充足，雨量充沛，四季常青。年平均气温21.6℃，平均气温年际差异小。历年最冷月在1至2月，平均气温13.8℃，历年最热月在7至8月，平均气温28.2℃。年平均降水量1700毫米左右，雨季多集中在4至9月。</w:t>
      </w:r>
    </w:p>
    <w:p>
      <w:pPr>
        <w:keepNext w:val="0"/>
        <w:keepLines w:val="0"/>
        <w:pageBreakBefore w:val="0"/>
        <w:widowControl w:val="0"/>
        <w:kinsoku/>
        <w:wordWrap/>
        <w:overflowPunct/>
        <w:topLinePunct w:val="0"/>
        <w:autoSpaceDE w:val="0"/>
        <w:autoSpaceDN w:val="0"/>
        <w:bidi w:val="0"/>
        <w:adjustRightInd w:val="0"/>
        <w:snapToGrid/>
        <w:spacing w:before="156" w:after="156" w:line="240" w:lineRule="auto"/>
        <w:ind w:firstLine="480"/>
        <w:textAlignment w:val="auto"/>
        <w:rPr>
          <w:rFonts w:hAnsi="宋体"/>
        </w:rPr>
      </w:pPr>
      <w:r>
        <w:rPr>
          <w:rFonts w:hint="eastAsia" w:hAnsi="宋体"/>
        </w:rPr>
        <w:t xml:space="preserve"> 1.2.4 地表水体、水文</w:t>
      </w:r>
    </w:p>
    <w:p>
      <w:pPr>
        <w:spacing w:before="156" w:after="156" w:line="360" w:lineRule="auto"/>
        <w:ind w:firstLine="480"/>
        <w:rPr>
          <w:rFonts w:hint="eastAsia" w:hAnsi="宋体"/>
        </w:rPr>
      </w:pPr>
      <w:r>
        <w:rPr>
          <w:rFonts w:hint="eastAsia" w:hAnsi="宋体"/>
        </w:rPr>
        <w:t>清远市水源充足，年可采集总量307.26立方米。河流如织，集水面积100平方公里以上的河流达149条，较大的有北江、连江（小北江）、翁江、滨江、琶江。全市可供开发的水利蕴藏量达87.62万千瓦。山塘水库众多，全市有水库、山塘2006处，其中库容量在1亿立方米以上的大型水库有2个，中型水库14个，小型水库350个。全市还有丰富的地热资源，现已查明的地热温泉有5处，水温为48℃～62℃，流量大、埋藏浅、水质好，具有农业育种、鱼苗越冬、疗养、旅游等综合开发利用的价值。</w:t>
      </w:r>
    </w:p>
    <w:p>
      <w:pPr>
        <w:spacing w:before="156" w:after="156" w:line="360" w:lineRule="auto"/>
        <w:ind w:firstLine="480"/>
        <w:rPr>
          <w:rFonts w:hint="eastAsia" w:hAnsi="宋体"/>
        </w:rPr>
      </w:pPr>
      <w:r>
        <w:rPr>
          <w:rFonts w:hint="eastAsia" w:hAnsi="宋体"/>
        </w:rPr>
        <w:t>北江流域清远市段不同保证率河川平均径流量为239.11m3/s；50%保证率：231.75 m3/s；75%保证率：188.53 m3/年；95%保证率：134 m3/s。</w:t>
      </w:r>
    </w:p>
    <w:p>
      <w:pPr>
        <w:spacing w:before="156" w:after="156" w:line="360" w:lineRule="auto"/>
        <w:ind w:firstLine="480"/>
        <w:rPr>
          <w:rFonts w:hint="eastAsia" w:hAnsi="宋体"/>
        </w:rPr>
      </w:pPr>
      <w:r>
        <w:rPr>
          <w:rFonts w:hint="eastAsia" w:hAnsi="宋体"/>
        </w:rPr>
        <w:t>北江是珠江流域第二大水系。北江上源有二，浈水发源与江西信丰县石碣大茅山，由东北向西南流，经南雄、始兴、仁化和曲江县境，与武水在韶关市汇合；武水发源于湖南省临武县的三岭峰，自北向南流，经湖南省的临武、宜章县和广东省的乐昌市、乳源、曲江县于浈水在韶关市汇合。武水与浈水汇合后称为北江，折向南流，至孟洲坝与南水相汇，然后向南直下英德市与连江、翁江汇合，至四会市与绥江汇合，在三水市的思贤滘与西江会流后进入珠江三角洲网河区，主流从蕉门、洪奇沥进入南海。北江因为受粤北山字型构造的影响，江水常穿山而过，沿河多峡谷。北江干流从源头至思贤滘汇合西江止，全长468公里，平均坡降0.26‰，集水面积46710平方公里，占珠江流域面积的10.3%。北江流域面积的92%在广东境内，流域内河系发育，共有大于100km2以上河流149条，其中大于1000km2的河流14条。韶关经曲江、英德至清远飞来峡为北江中游，全长172公里，落差约40米，流域面积35626平方公里。飞来峡至三水河口为下游，全长85公里，落差约10米，流域面积3506平方公里。</w:t>
      </w:r>
    </w:p>
    <w:p>
      <w:pPr>
        <w:pStyle w:val="4"/>
        <w:spacing w:before="156" w:after="156"/>
      </w:pPr>
      <w:bookmarkStart w:id="15" w:name="_Toc1912"/>
      <w:r>
        <w:rPr>
          <w:rFonts w:hint="eastAsia"/>
        </w:rPr>
        <w:t>1.3、项目建设背景</w:t>
      </w:r>
      <w:bookmarkEnd w:id="12"/>
      <w:bookmarkEnd w:id="13"/>
      <w:bookmarkEnd w:id="15"/>
    </w:p>
    <w:p>
      <w:pPr>
        <w:pStyle w:val="114"/>
        <w:spacing w:before="156" w:after="156"/>
        <w:ind w:firstLine="480"/>
      </w:pPr>
      <w:r>
        <w:rPr>
          <w:rFonts w:hint="eastAsia"/>
        </w:rPr>
        <w:t>近年来，随着城镇化的不断推进，城市建成区越来越大的同时，城市硬化面积增加，雨水吸、渗能力下降。城市建设导致严重的水利问题，湖泊、湿地遭到破坏，湖泊面积减少，天然湿地消失。水泥森林的出现，意味着排洪、滞洪、滞水能力大幅下降。城市建设挤占了原属于湖泊、湿地的空间，城市对水的吸纳能力大幅降低，自然循环遭到破坏。近年来，几乎所有城市都出现过地下水过度开采，“逢雨必涝、雨后即旱”的现象，“雨水留不住，用水靠外调”的情况。</w:t>
      </w:r>
    </w:p>
    <w:p>
      <w:pPr>
        <w:pStyle w:val="114"/>
        <w:spacing w:before="156" w:after="156"/>
        <w:ind w:firstLine="480"/>
      </w:pPr>
      <w:r>
        <w:rPr>
          <w:rFonts w:hint="eastAsia"/>
        </w:rPr>
        <w:t>低影响开发（LID），其核心是维持场地开发前后水文特征不变，包括径流总量、 峰值流量、 峰现时间等 （图1-1）。从水文循环角度，要维持径流总量不变，就要采取渗透、 储存等方式，实现开发后一定量的径流量不外排；要维持峰值流量不变，就要采取渗透、储存、调节等措施削减峰值、延缓峰值时间。</w:t>
      </w:r>
    </w:p>
    <w:p>
      <w:pPr>
        <w:spacing w:before="156" w:after="156" w:line="360" w:lineRule="auto"/>
        <w:ind w:firstLine="480"/>
        <w:contextualSpacing/>
        <w:jc w:val="center"/>
        <w:rPr>
          <w:rFonts w:hAnsi="宋体" w:cs="宋体"/>
        </w:rPr>
      </w:pPr>
      <w:r>
        <w:rPr>
          <w:rFonts w:hint="eastAsia" w:hAnsi="宋体" w:cs="宋体"/>
        </w:rPr>
        <w:drawing>
          <wp:inline distT="0" distB="0" distL="114300" distR="114300">
            <wp:extent cx="4914265" cy="2319020"/>
            <wp:effectExtent l="0" t="0" r="635" b="5080"/>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8"/>
                    <a:stretch>
                      <a:fillRect/>
                    </a:stretch>
                  </pic:blipFill>
                  <pic:spPr>
                    <a:xfrm>
                      <a:off x="0" y="0"/>
                      <a:ext cx="4918502" cy="2321433"/>
                    </a:xfrm>
                    <a:prstGeom prst="rect">
                      <a:avLst/>
                    </a:prstGeom>
                    <a:noFill/>
                    <a:ln w="9525">
                      <a:noFill/>
                    </a:ln>
                  </pic:spPr>
                </pic:pic>
              </a:graphicData>
            </a:graphic>
          </wp:inline>
        </w:drawing>
      </w:r>
    </w:p>
    <w:p>
      <w:pPr>
        <w:spacing w:before="156" w:after="156" w:line="360" w:lineRule="auto"/>
        <w:ind w:firstLine="482"/>
        <w:contextualSpacing/>
        <w:jc w:val="center"/>
        <w:rPr>
          <w:rFonts w:hAnsi="宋体" w:cs="宋体"/>
          <w:b/>
        </w:rPr>
      </w:pPr>
      <w:r>
        <w:rPr>
          <w:rFonts w:hint="eastAsia" w:hAnsi="宋体" w:cs="宋体"/>
          <w:b/>
        </w:rPr>
        <w:t>图1-1 低影响开发水文原理示意图</w:t>
      </w:r>
    </w:p>
    <w:p>
      <w:pPr>
        <w:pStyle w:val="114"/>
        <w:spacing w:before="156" w:after="156"/>
        <w:ind w:firstLine="480"/>
        <w:rPr>
          <w:rFonts w:hint="default"/>
          <w:lang w:val="en-US" w:eastAsia="zh-CN"/>
        </w:rPr>
      </w:pPr>
      <w:r>
        <w:rPr>
          <w:rFonts w:hint="eastAsia"/>
        </w:rPr>
        <w:t>为贯彻落实习近平总书记讲话及中央城镇化工作会议精神，大力推进建设自然积存、自然渗透、自然净化的“海绵城市”，节约水资源，保护和改善城市生态环境，促进生态文明建设，依据《城镇排水与污水处理条例》、《国务院办公厅关于做好城市排水防涝设施建设工作的通知》（国办发〔2013〕23号）、《国务院关于加强城市基础设施建设的意见》（国发〔2013〕36号）等国家法规政策，根据</w:t>
      </w:r>
      <w:r>
        <w:rPr>
          <w:rFonts w:hint="eastAsia"/>
          <w:lang w:val="en-US" w:eastAsia="zh-CN"/>
        </w:rPr>
        <w:t>清远</w:t>
      </w:r>
      <w:r>
        <w:rPr>
          <w:rFonts w:hint="eastAsia"/>
        </w:rPr>
        <w:t>市发布的《</w:t>
      </w:r>
      <w:r>
        <w:rPr>
          <w:rFonts w:hint="eastAsia"/>
          <w:lang w:val="en-US" w:eastAsia="zh-CN"/>
        </w:rPr>
        <w:t>清远市中心城区海绵城市建设技术导则</w:t>
      </w:r>
      <w:r>
        <w:rPr>
          <w:rFonts w:hint="eastAsia"/>
        </w:rPr>
        <w:t>》，满足</w:t>
      </w:r>
      <w:r>
        <w:rPr>
          <w:rFonts w:hint="eastAsia"/>
          <w:lang w:val="en-US" w:eastAsia="zh-CN"/>
        </w:rPr>
        <w:t>海绵设计要求。</w:t>
      </w:r>
    </w:p>
    <w:p>
      <w:pPr>
        <w:pStyle w:val="114"/>
        <w:spacing w:before="156" w:after="156"/>
        <w:ind w:firstLine="480"/>
      </w:pPr>
    </w:p>
    <w:p>
      <w:pPr>
        <w:pStyle w:val="4"/>
        <w:spacing w:before="156" w:after="156"/>
      </w:pPr>
      <w:bookmarkStart w:id="16" w:name="_Toc527731086"/>
      <w:bookmarkStart w:id="17" w:name="_Toc27797"/>
      <w:r>
        <w:rPr>
          <w:rFonts w:hint="eastAsia"/>
        </w:rPr>
        <w:t>1.4、海绵城市设计依据</w:t>
      </w:r>
      <w:bookmarkEnd w:id="16"/>
      <w:bookmarkEnd w:id="17"/>
    </w:p>
    <w:p>
      <w:pPr>
        <w:spacing w:beforeLines="0" w:afterLines="0" w:line="360" w:lineRule="auto"/>
        <w:ind w:left="480" w:hanging="480" w:hangingChars="200"/>
      </w:pPr>
      <w:r>
        <w:rPr>
          <w:rFonts w:hint="eastAsia"/>
        </w:rPr>
        <w:t>（1）《防洪标准》（GB50201-2014）</w:t>
      </w:r>
    </w:p>
    <w:p>
      <w:pPr>
        <w:spacing w:beforeLines="0" w:afterLines="0" w:line="360" w:lineRule="auto"/>
        <w:ind w:left="480" w:hanging="480" w:hangingChars="200"/>
      </w:pPr>
      <w:r>
        <w:rPr>
          <w:rFonts w:hint="eastAsia"/>
        </w:rPr>
        <w:t>（2）《城市防洪工程设计规范》（GB/T50805-2012）</w:t>
      </w:r>
    </w:p>
    <w:p>
      <w:pPr>
        <w:spacing w:beforeLines="0" w:afterLines="0" w:line="360" w:lineRule="auto"/>
        <w:ind w:left="480" w:hanging="480" w:hangingChars="200"/>
      </w:pPr>
      <w:r>
        <w:rPr>
          <w:rFonts w:hint="eastAsia"/>
        </w:rPr>
        <w:t>（3）《地表水环境质量标准》（GB3838-2002）</w:t>
      </w:r>
    </w:p>
    <w:p>
      <w:pPr>
        <w:spacing w:beforeLines="0" w:afterLines="0" w:line="360" w:lineRule="auto"/>
        <w:ind w:left="480" w:hanging="480" w:hangingChars="200"/>
      </w:pPr>
      <w:r>
        <w:rPr>
          <w:rFonts w:hint="eastAsia"/>
        </w:rPr>
        <w:t>（4）《城市排水工程规划规范》（GB50318-2017）</w:t>
      </w:r>
    </w:p>
    <w:p>
      <w:pPr>
        <w:spacing w:beforeLines="0" w:afterLines="0" w:line="360" w:lineRule="auto"/>
        <w:ind w:left="480" w:hanging="480" w:hangingChars="200"/>
      </w:pPr>
      <w:r>
        <w:rPr>
          <w:rFonts w:hint="eastAsia"/>
        </w:rPr>
        <w:t>（5）《室外排水设计</w:t>
      </w:r>
      <w:r>
        <w:rPr>
          <w:rFonts w:hint="eastAsia"/>
          <w:lang w:val="en-US" w:eastAsia="zh-CN"/>
        </w:rPr>
        <w:t>标准</w:t>
      </w:r>
      <w:r>
        <w:rPr>
          <w:rFonts w:hint="eastAsia"/>
        </w:rPr>
        <w:t>》（GB50014-20</w:t>
      </w:r>
      <w:r>
        <w:rPr>
          <w:rFonts w:hint="eastAsia"/>
          <w:lang w:val="en-US" w:eastAsia="zh-CN"/>
        </w:rPr>
        <w:t>21</w:t>
      </w:r>
      <w:r>
        <w:rPr>
          <w:rFonts w:hint="eastAsia"/>
        </w:rPr>
        <w:t>）</w:t>
      </w:r>
    </w:p>
    <w:p>
      <w:pPr>
        <w:spacing w:beforeLines="0" w:afterLines="0" w:line="360" w:lineRule="auto"/>
        <w:ind w:left="480" w:hanging="480" w:hangingChars="200"/>
      </w:pPr>
      <w:r>
        <w:rPr>
          <w:rFonts w:hint="eastAsia"/>
        </w:rPr>
        <w:t>（6）《城市工程管线综合规划规范》（GB50289-2016）</w:t>
      </w:r>
    </w:p>
    <w:p>
      <w:pPr>
        <w:spacing w:beforeLines="0" w:afterLines="0" w:line="360" w:lineRule="auto"/>
        <w:ind w:left="480" w:hanging="480" w:hangingChars="200"/>
      </w:pPr>
      <w:r>
        <w:rPr>
          <w:rFonts w:hint="eastAsia"/>
        </w:rPr>
        <w:t>（7）《建筑与小区雨水控制及利用工程技术规范》（GB50400-2016）</w:t>
      </w:r>
    </w:p>
    <w:p>
      <w:pPr>
        <w:spacing w:beforeLines="0" w:afterLines="0" w:line="360" w:lineRule="auto"/>
        <w:ind w:left="480" w:hanging="480" w:hangingChars="200"/>
      </w:pPr>
      <w:r>
        <w:rPr>
          <w:rFonts w:hint="eastAsia"/>
        </w:rPr>
        <w:t>（8）《城市水系规划导则》（SL431-2008）</w:t>
      </w:r>
    </w:p>
    <w:p>
      <w:pPr>
        <w:spacing w:beforeLines="0" w:afterLines="0" w:line="360" w:lineRule="auto"/>
        <w:ind w:left="480" w:hanging="480" w:hangingChars="200"/>
      </w:pPr>
      <w:r>
        <w:rPr>
          <w:rFonts w:hint="eastAsia"/>
        </w:rPr>
        <w:t>（9）《城市水系规划规范》（GB50513-2009）（2016年版）</w:t>
      </w:r>
    </w:p>
    <w:p>
      <w:pPr>
        <w:spacing w:beforeLines="0" w:afterLines="0" w:line="360" w:lineRule="auto"/>
        <w:ind w:left="480" w:hanging="480" w:hangingChars="200"/>
        <w:rPr>
          <w:rFonts w:hint="default" w:eastAsia="宋体"/>
          <w:lang w:val="en-US" w:eastAsia="zh-CN"/>
        </w:rPr>
      </w:pPr>
      <w:r>
        <w:rPr>
          <w:rFonts w:hint="eastAsia"/>
        </w:rPr>
        <w:t>（10）《绿色建筑评价标准》</w:t>
      </w:r>
      <w:r>
        <w:rPr>
          <w:rFonts w:hint="eastAsia"/>
          <w:lang w:val="en-US" w:eastAsia="zh-CN"/>
        </w:rPr>
        <w:t>GB</w:t>
      </w:r>
      <w:r>
        <w:rPr>
          <w:rFonts w:hint="eastAsia"/>
        </w:rPr>
        <w:t>/</w:t>
      </w:r>
      <w:r>
        <w:rPr>
          <w:rFonts w:hint="eastAsia"/>
          <w:lang w:val="en-US" w:eastAsia="zh-CN"/>
        </w:rPr>
        <w:t>T 50378-2021</w:t>
      </w:r>
    </w:p>
    <w:p>
      <w:pPr>
        <w:spacing w:beforeLines="0" w:afterLines="0" w:line="360" w:lineRule="auto"/>
        <w:ind w:left="480" w:hanging="480" w:hangingChars="200"/>
      </w:pPr>
      <w:r>
        <w:rPr>
          <w:rFonts w:hint="eastAsia"/>
        </w:rPr>
        <w:t>（11）《水污染物排放限值》（DB44/26-2001）</w:t>
      </w:r>
    </w:p>
    <w:p>
      <w:pPr>
        <w:spacing w:beforeLines="0" w:afterLines="0" w:line="360" w:lineRule="auto"/>
        <w:ind w:left="480" w:hanging="480" w:hangingChars="200"/>
      </w:pPr>
      <w:r>
        <w:rPr>
          <w:rFonts w:hint="eastAsia"/>
        </w:rPr>
        <w:t>（12）《海绵城市建设技术指南—低影响开发雨水系统构建》</w:t>
      </w:r>
    </w:p>
    <w:p>
      <w:pPr>
        <w:spacing w:beforeLines="0" w:afterLines="0" w:line="360" w:lineRule="auto"/>
        <w:ind w:left="480" w:hanging="480" w:hangingChars="200"/>
      </w:pPr>
      <w:r>
        <w:rPr>
          <w:rFonts w:hint="eastAsia"/>
        </w:rPr>
        <w:t>（13）《低影响开发雨水综合利用技术规范》（SZDB/Z 145-2015）</w:t>
      </w:r>
    </w:p>
    <w:p>
      <w:pPr>
        <w:spacing w:beforeLines="0" w:afterLines="0" w:line="360" w:lineRule="auto"/>
        <w:ind w:left="480" w:hanging="480" w:hangingChars="200"/>
      </w:pPr>
      <w:r>
        <w:rPr>
          <w:rFonts w:hint="eastAsia"/>
        </w:rPr>
        <w:t>（14）《低影响开发雨水控制及利用工程设计规范》（DBJ/T45-013-2016）</w:t>
      </w:r>
    </w:p>
    <w:p>
      <w:pPr>
        <w:spacing w:beforeLines="0" w:afterLines="0" w:line="360" w:lineRule="auto"/>
        <w:ind w:left="480" w:hanging="480" w:hangingChars="200"/>
      </w:pPr>
      <w:r>
        <w:rPr>
          <w:rFonts w:hint="eastAsia"/>
        </w:rPr>
        <w:t>（15）《城市道路与开放空间低影响开放雨水设施》15MR105</w:t>
      </w:r>
    </w:p>
    <w:p>
      <w:pPr>
        <w:spacing w:beforeLines="0" w:afterLines="0" w:line="360" w:lineRule="auto"/>
        <w:ind w:left="480" w:hanging="480" w:hangingChars="200"/>
      </w:pPr>
      <w:r>
        <w:rPr>
          <w:rFonts w:hint="eastAsia"/>
        </w:rPr>
        <w:t>（16）《城市道路工程设计规范》（CJJ37-2012）2016年版</w:t>
      </w:r>
    </w:p>
    <w:p>
      <w:pPr>
        <w:spacing w:beforeLines="0" w:afterLines="0" w:line="360" w:lineRule="auto"/>
        <w:ind w:left="480" w:hanging="480" w:hangingChars="200"/>
      </w:pPr>
      <w:r>
        <w:rPr>
          <w:rFonts w:hint="eastAsia"/>
        </w:rPr>
        <w:t>（17）《城市园林绿化评价标准》（GB/T 50563-2010）</w:t>
      </w:r>
    </w:p>
    <w:p>
      <w:pPr>
        <w:spacing w:beforeLines="0" w:afterLines="0" w:line="360" w:lineRule="auto"/>
        <w:ind w:left="480" w:hanging="480" w:hangingChars="200"/>
      </w:pPr>
      <w:r>
        <w:rPr>
          <w:rFonts w:hint="eastAsia"/>
        </w:rPr>
        <w:t>（18）《园林绿化工程施工及验收规范》（CJJ82-2012）</w:t>
      </w:r>
    </w:p>
    <w:p>
      <w:pPr>
        <w:spacing w:beforeLines="0" w:afterLines="0" w:line="360" w:lineRule="auto"/>
        <w:ind w:left="480" w:hanging="480" w:hangingChars="200"/>
      </w:pPr>
      <w:r>
        <w:rPr>
          <w:rFonts w:hint="eastAsia"/>
        </w:rPr>
        <w:t>（19）《种植屋面工程技术规范》（JGJ 155-2013）</w:t>
      </w:r>
    </w:p>
    <w:p>
      <w:pPr>
        <w:spacing w:beforeLines="0" w:afterLines="0" w:line="360" w:lineRule="auto"/>
        <w:ind w:left="480" w:hanging="480" w:hangingChars="200"/>
      </w:pPr>
      <w:r>
        <w:rPr>
          <w:rFonts w:hint="eastAsia"/>
        </w:rPr>
        <w:t>（20）《透水砖路面技术规程》（CJJ/T188-2012）</w:t>
      </w:r>
    </w:p>
    <w:p>
      <w:pPr>
        <w:spacing w:beforeLines="0" w:afterLines="0" w:line="360" w:lineRule="auto"/>
        <w:ind w:left="480" w:hanging="480" w:hangingChars="200"/>
        <w:rPr>
          <w:rFonts w:hint="eastAsia"/>
        </w:rPr>
      </w:pPr>
      <w:r>
        <w:rPr>
          <w:rFonts w:hint="eastAsia"/>
        </w:rPr>
        <w:t>（21）《海绵城市建设评价标准》GB/T51345-2018</w:t>
      </w:r>
    </w:p>
    <w:p>
      <w:pPr>
        <w:spacing w:beforeLines="0" w:afterLines="0" w:line="360" w:lineRule="auto"/>
        <w:ind w:left="480" w:hanging="480" w:hangingChars="200"/>
        <w:rPr>
          <w:rFonts w:hint="eastAsia"/>
        </w:rPr>
      </w:pPr>
      <w:r>
        <w:rPr>
          <w:rFonts w:hint="eastAsia"/>
        </w:rPr>
        <w:t>（22）《</w:t>
      </w:r>
      <w:r>
        <w:rPr>
          <w:rFonts w:hint="eastAsia"/>
          <w:lang w:val="en-US" w:eastAsia="zh-CN"/>
        </w:rPr>
        <w:t>清远市中心城区海绵城市建设技术导则</w:t>
      </w:r>
      <w:r>
        <w:rPr>
          <w:rFonts w:hint="eastAsia"/>
        </w:rPr>
        <w:t>》</w:t>
      </w:r>
    </w:p>
    <w:p>
      <w:pPr>
        <w:spacing w:beforeLines="0" w:afterLines="0" w:line="360" w:lineRule="auto"/>
        <w:ind w:left="480" w:hanging="480" w:hangingChars="200"/>
        <w:rPr>
          <w:rFonts w:hint="eastAsia"/>
        </w:rPr>
      </w:pPr>
      <w:r>
        <w:rPr>
          <w:rFonts w:hint="eastAsia"/>
          <w:lang w:eastAsia="zh-CN"/>
        </w:rPr>
        <w:t>（</w:t>
      </w:r>
      <w:r>
        <w:rPr>
          <w:rFonts w:hint="eastAsia"/>
          <w:lang w:val="en-US" w:eastAsia="zh-CN"/>
        </w:rPr>
        <w:t>23</w:t>
      </w:r>
      <w:r>
        <w:rPr>
          <w:rFonts w:hint="eastAsia"/>
          <w:lang w:eastAsia="zh-CN"/>
        </w:rPr>
        <w:t>）</w:t>
      </w:r>
      <w:r>
        <w:rPr>
          <w:rFonts w:hint="eastAsia"/>
        </w:rPr>
        <w:t>《清远市中心城区海绵城市建设技术图集》</w:t>
      </w:r>
    </w:p>
    <w:p>
      <w:pPr>
        <w:pStyle w:val="3"/>
        <w:spacing w:before="156" w:after="156"/>
        <w:rPr>
          <w:color w:val="auto"/>
        </w:rPr>
      </w:pPr>
      <w:bookmarkStart w:id="18" w:name="_Toc8382"/>
      <w:bookmarkStart w:id="19" w:name="_Toc25961"/>
      <w:bookmarkStart w:id="20" w:name="_Toc1733383"/>
      <w:r>
        <w:rPr>
          <w:rFonts w:hint="eastAsia"/>
          <w:color w:val="auto"/>
        </w:rPr>
        <w:t>2、海绵城市的建设目标</w:t>
      </w:r>
      <w:bookmarkEnd w:id="18"/>
      <w:bookmarkEnd w:id="19"/>
      <w:bookmarkEnd w:id="20"/>
    </w:p>
    <w:p>
      <w:pPr>
        <w:pStyle w:val="114"/>
        <w:spacing w:before="156" w:after="156"/>
        <w:ind w:firstLine="480"/>
      </w:pPr>
      <w:r>
        <w:rPr>
          <w:rFonts w:hint="eastAsia"/>
        </w:rPr>
        <w:t>根据《海绵城市建设技术指南——低影响开发雨水系统构建》，</w:t>
      </w:r>
      <w:r>
        <w:rPr>
          <w:rFonts w:hint="eastAsia"/>
          <w:lang w:val="en-US" w:eastAsia="zh-CN"/>
        </w:rPr>
        <w:t>清远</w:t>
      </w:r>
      <w:r>
        <w:rPr>
          <w:rFonts w:hint="eastAsia"/>
        </w:rPr>
        <w:t xml:space="preserve">市属于年径流总量控制率的V区，年径流总量控制率应为（60%≤α≤85%）（图2-1）。 </w:t>
      </w:r>
    </w:p>
    <w:p>
      <w:pPr>
        <w:spacing w:before="156" w:after="156" w:line="360" w:lineRule="auto"/>
        <w:ind w:firstLine="480"/>
        <w:jc w:val="center"/>
        <w:rPr>
          <w:rFonts w:hAnsi="宋体" w:cs="宋体"/>
        </w:rPr>
      </w:pPr>
      <w:r>
        <w:drawing>
          <wp:inline distT="0" distB="0" distL="114300" distR="114300">
            <wp:extent cx="4324985" cy="2960370"/>
            <wp:effectExtent l="0" t="0" r="18415" b="11430"/>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pic:cNvPicPr>
                  </pic:nvPicPr>
                  <pic:blipFill>
                    <a:blip r:embed="rId9"/>
                    <a:stretch>
                      <a:fillRect/>
                    </a:stretch>
                  </pic:blipFill>
                  <pic:spPr>
                    <a:xfrm>
                      <a:off x="0" y="0"/>
                      <a:ext cx="4324985" cy="2960370"/>
                    </a:xfrm>
                    <a:prstGeom prst="rect">
                      <a:avLst/>
                    </a:prstGeom>
                    <a:noFill/>
                    <a:ln w="9525">
                      <a:noFill/>
                    </a:ln>
                  </pic:spPr>
                </pic:pic>
              </a:graphicData>
            </a:graphic>
          </wp:inline>
        </w:drawing>
      </w:r>
    </w:p>
    <w:p>
      <w:pPr>
        <w:spacing w:before="156" w:after="156"/>
        <w:ind w:firstLine="482"/>
        <w:jc w:val="center"/>
        <w:rPr>
          <w:rFonts w:hAnsi="宋体" w:cs="宋体"/>
          <w:b/>
        </w:rPr>
      </w:pPr>
      <w:r>
        <w:rPr>
          <w:rFonts w:hint="eastAsia" w:hAnsi="宋体" w:cs="宋体"/>
          <w:b/>
        </w:rPr>
        <w:t>图2-1</w:t>
      </w:r>
      <w:r>
        <w:rPr>
          <w:rFonts w:hAnsi="宋体" w:cs="宋体"/>
          <w:b/>
        </w:rPr>
        <w:t xml:space="preserve"> 我国大陆地区年径流总量控制率分区图</w:t>
      </w:r>
    </w:p>
    <w:p>
      <w:pPr>
        <w:tabs>
          <w:tab w:val="left" w:pos="851"/>
        </w:tabs>
        <w:spacing w:before="156" w:after="156" w:line="360" w:lineRule="auto"/>
        <w:ind w:firstLine="480"/>
        <w:rPr>
          <w:rFonts w:hAnsi="宋体"/>
        </w:rPr>
      </w:pPr>
      <w:r>
        <w:rPr>
          <w:rFonts w:hint="eastAsia" w:hAnsi="宋体"/>
        </w:rPr>
        <w:t>根据</w:t>
      </w:r>
      <w:r>
        <w:rPr>
          <w:rFonts w:hint="eastAsia"/>
        </w:rPr>
        <w:t>《</w:t>
      </w:r>
      <w:r>
        <w:rPr>
          <w:rFonts w:hint="eastAsia"/>
          <w:lang w:val="en-US" w:eastAsia="zh-CN"/>
        </w:rPr>
        <w:t>清远市中心城区海绵城市建设技术导则</w:t>
      </w:r>
      <w:r>
        <w:rPr>
          <w:rFonts w:hint="eastAsia"/>
        </w:rPr>
        <w:t>》</w:t>
      </w:r>
      <w:r>
        <w:rPr>
          <w:rFonts w:hint="eastAsia" w:hAnsi="宋体"/>
        </w:rPr>
        <w:t>中</w:t>
      </w:r>
      <w:r>
        <w:rPr>
          <w:rFonts w:hint="eastAsia" w:hAnsi="宋体"/>
          <w:lang w:val="en-US" w:eastAsia="zh-CN"/>
        </w:rPr>
        <w:t>清远</w:t>
      </w:r>
      <w:r>
        <w:rPr>
          <w:rFonts w:hint="eastAsia" w:hAnsi="宋体"/>
        </w:rPr>
        <w:t>市年径流总量控制率与设计雨量之间的关系曲线如下图所示：</w:t>
      </w:r>
    </w:p>
    <w:p>
      <w:pPr>
        <w:spacing w:before="156" w:after="156" w:line="360" w:lineRule="auto"/>
        <w:ind w:firstLine="480"/>
        <w:jc w:val="center"/>
      </w:pPr>
      <w:r>
        <w:drawing>
          <wp:inline distT="0" distB="0" distL="114300" distR="114300">
            <wp:extent cx="5694680" cy="3308985"/>
            <wp:effectExtent l="0" t="0" r="1270" b="5715"/>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10"/>
                    <a:stretch>
                      <a:fillRect/>
                    </a:stretch>
                  </pic:blipFill>
                  <pic:spPr>
                    <a:xfrm>
                      <a:off x="0" y="0"/>
                      <a:ext cx="5694680" cy="3308985"/>
                    </a:xfrm>
                    <a:prstGeom prst="rect">
                      <a:avLst/>
                    </a:prstGeom>
                    <a:noFill/>
                    <a:ln>
                      <a:noFill/>
                    </a:ln>
                  </pic:spPr>
                </pic:pic>
              </a:graphicData>
            </a:graphic>
          </wp:inline>
        </w:drawing>
      </w:r>
    </w:p>
    <w:p>
      <w:pPr>
        <w:spacing w:before="156" w:after="156"/>
        <w:ind w:firstLine="482"/>
        <w:jc w:val="center"/>
        <w:rPr>
          <w:rFonts w:hint="eastAsia" w:hAnsi="宋体" w:cs="宋体"/>
          <w:b/>
        </w:rPr>
      </w:pPr>
      <w:r>
        <w:rPr>
          <w:rFonts w:hint="eastAsia" w:hAnsi="宋体" w:cs="宋体"/>
          <w:b/>
        </w:rPr>
        <w:t xml:space="preserve">图2-2 </w:t>
      </w:r>
      <w:r>
        <w:rPr>
          <w:rFonts w:hint="eastAsia" w:hAnsi="宋体" w:cs="宋体"/>
          <w:b/>
          <w:lang w:val="en-US" w:eastAsia="zh-CN"/>
        </w:rPr>
        <w:t>清远</w:t>
      </w:r>
      <w:r>
        <w:rPr>
          <w:rFonts w:hint="eastAsia" w:hAnsi="宋体" w:cs="宋体"/>
          <w:b/>
        </w:rPr>
        <w:t xml:space="preserve">市年径流总量控制率与设计雨量之间的关系 </w:t>
      </w:r>
    </w:p>
    <w:p>
      <w:pPr>
        <w:spacing w:before="156" w:after="156" w:line="360" w:lineRule="auto"/>
        <w:ind w:firstLine="482"/>
        <w:jc w:val="center"/>
        <w:rPr>
          <w:rFonts w:hAnsi="宋体"/>
        </w:rPr>
      </w:pPr>
      <w:r>
        <w:rPr>
          <w:rFonts w:hint="eastAsia" w:hAnsi="宋体" w:cs="宋体"/>
          <w:b/>
          <w:bCs/>
        </w:rPr>
        <w:t>表2-1</w:t>
      </w:r>
      <w:r>
        <w:rPr>
          <w:rFonts w:hint="eastAsia" w:hAnsi="宋体" w:cs="宋体"/>
          <w:b/>
          <w:bCs/>
          <w:lang w:val="en-US" w:eastAsia="zh-CN"/>
        </w:rPr>
        <w:t xml:space="preserve">  </w:t>
      </w:r>
      <w:r>
        <w:rPr>
          <w:rFonts w:hint="eastAsia" w:hAnsi="宋体" w:cs="宋体"/>
          <w:b/>
          <w:bCs/>
        </w:rPr>
        <w:t>年径流总量控制率对应设计降雨量</w:t>
      </w:r>
    </w:p>
    <w:p>
      <w:pPr>
        <w:spacing w:before="156" w:after="156" w:line="360" w:lineRule="auto"/>
        <w:ind w:firstLine="480"/>
        <w:rPr>
          <w:rFonts w:hAnsi="宋体" w:cs="宋体"/>
        </w:rPr>
      </w:pPr>
      <w:r>
        <w:drawing>
          <wp:inline distT="0" distB="0" distL="114300" distR="114300">
            <wp:extent cx="5694045" cy="923925"/>
            <wp:effectExtent l="0" t="0" r="1905" b="9525"/>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11"/>
                    <a:stretch>
                      <a:fillRect/>
                    </a:stretch>
                  </pic:blipFill>
                  <pic:spPr>
                    <a:xfrm>
                      <a:off x="0" y="0"/>
                      <a:ext cx="5694045" cy="923925"/>
                    </a:xfrm>
                    <a:prstGeom prst="rect">
                      <a:avLst/>
                    </a:prstGeom>
                    <a:noFill/>
                    <a:ln>
                      <a:noFill/>
                    </a:ln>
                  </pic:spPr>
                </pic:pic>
              </a:graphicData>
            </a:graphic>
          </wp:inline>
        </w:drawing>
      </w:r>
      <w:r>
        <w:rPr>
          <w:rFonts w:hint="eastAsia" w:hAnsi="宋体" w:cs="宋体"/>
        </w:rPr>
        <w:t>注：</w:t>
      </w:r>
      <w:r>
        <w:rPr>
          <w:rFonts w:hint="eastAsia" w:hAnsi="宋体" w:cs="宋体"/>
          <w:lang w:val="en-US" w:eastAsia="zh-CN"/>
        </w:rPr>
        <w:t>截图</w:t>
      </w:r>
      <w:r>
        <w:rPr>
          <w:rFonts w:hint="eastAsia" w:hAnsi="宋体" w:cs="宋体"/>
        </w:rPr>
        <w:t>摘自</w:t>
      </w:r>
      <w:r>
        <w:rPr>
          <w:rFonts w:hint="eastAsia"/>
        </w:rPr>
        <w:t>《</w:t>
      </w:r>
      <w:r>
        <w:rPr>
          <w:rFonts w:hint="eastAsia"/>
          <w:lang w:val="en-US" w:eastAsia="zh-CN"/>
        </w:rPr>
        <w:t>清远市中心城区海绵城市建设技术导则</w:t>
      </w:r>
      <w:r>
        <w:rPr>
          <w:rFonts w:hint="eastAsia"/>
        </w:rPr>
        <w:t>》</w:t>
      </w:r>
      <w:r>
        <w:rPr>
          <w:rFonts w:hint="eastAsia" w:hAnsi="宋体" w:cs="宋体"/>
        </w:rPr>
        <w:t>。</w:t>
      </w:r>
    </w:p>
    <w:p>
      <w:pPr>
        <w:tabs>
          <w:tab w:val="left" w:pos="851"/>
        </w:tabs>
        <w:spacing w:before="156" w:after="156" w:line="360" w:lineRule="auto"/>
        <w:ind w:firstLine="480"/>
        <w:rPr>
          <w:rFonts w:hint="eastAsia" w:ascii="宋体" w:eastAsia="宋体"/>
          <w:lang w:val="en-US" w:eastAsia="zh-CN"/>
        </w:rPr>
      </w:pPr>
      <w:bookmarkStart w:id="21" w:name="_Toc1733384"/>
      <w:r>
        <w:rPr>
          <w:rFonts w:hint="default" w:ascii="宋体" w:eastAsia="宋体"/>
          <w:lang w:val="en-US" w:eastAsia="zh-CN"/>
        </w:rPr>
        <w:t>本项目位于清远市清城区，根据《清远市中心城区海绵城市建设技术导则》，本项目所在地属于</w:t>
      </w:r>
      <w:r>
        <w:rPr>
          <w:rFonts w:hint="eastAsia" w:ascii="宋体" w:eastAsia="宋体"/>
          <w:lang w:val="en-US" w:eastAsia="zh-CN"/>
        </w:rPr>
        <w:t>东城片区</w:t>
      </w:r>
      <w:r>
        <w:rPr>
          <w:rFonts w:hint="default" w:ascii="宋体" w:eastAsia="宋体"/>
          <w:lang w:val="en-US" w:eastAsia="zh-CN"/>
        </w:rPr>
        <w:t>，年径流总量控制率按照中心城区、分区和控规单元分为三级规划控制指标。指标取值应在国土空间规划（中心城区指标）、区域总体规划（分区指标）、控制性详细规划（控规单元指标）层面的海绵城市建设规划中予以确定，下一级指标的加权平均应满足上一级指标的要求。依据《清远市中心城区海绵城市建设技术导则》中对不同类型建设项目（新建）年径流总量控制率的取值要求，</w:t>
      </w:r>
      <w:r>
        <w:rPr>
          <w:rFonts w:hint="eastAsia" w:ascii="宋体" w:eastAsia="宋体"/>
          <w:lang w:val="en-US" w:eastAsia="zh-CN"/>
        </w:rPr>
        <w:t>A</w:t>
      </w:r>
      <w:r>
        <w:rPr>
          <w:rFonts w:hint="default" w:ascii="宋体" w:eastAsia="宋体"/>
          <w:lang w:val="en-US" w:eastAsia="zh-CN"/>
        </w:rPr>
        <w:t>类</w:t>
      </w:r>
      <w:r>
        <w:rPr>
          <w:rFonts w:hint="eastAsia" w:ascii="宋体" w:eastAsia="宋体"/>
          <w:lang w:val="en-US" w:eastAsia="zh-CN"/>
        </w:rPr>
        <w:t>公建</w:t>
      </w:r>
      <w:r>
        <w:rPr>
          <w:rFonts w:hint="default" w:ascii="宋体" w:eastAsia="宋体"/>
          <w:lang w:val="en-US" w:eastAsia="zh-CN"/>
        </w:rPr>
        <w:t>类项目年径流总量控制率为</w:t>
      </w:r>
      <w:r>
        <w:rPr>
          <w:rFonts w:hint="eastAsia" w:ascii="宋体" w:eastAsia="宋体"/>
          <w:b/>
          <w:bCs/>
          <w:lang w:val="en-US" w:eastAsia="zh-CN"/>
        </w:rPr>
        <w:t>80</w:t>
      </w:r>
      <w:r>
        <w:rPr>
          <w:rFonts w:hint="default" w:ascii="宋体" w:eastAsia="宋体"/>
          <w:b/>
          <w:bCs/>
          <w:lang w:val="en-US" w:eastAsia="zh-CN"/>
        </w:rPr>
        <w:t>%</w:t>
      </w:r>
      <w:r>
        <w:rPr>
          <w:rFonts w:hint="default" w:ascii="宋体" w:eastAsia="宋体"/>
          <w:lang w:val="en-US" w:eastAsia="zh-CN"/>
        </w:rPr>
        <w:t xml:space="preserve">，详见表 </w:t>
      </w:r>
      <w:r>
        <w:rPr>
          <w:rFonts w:hint="eastAsia" w:ascii="宋体" w:eastAsia="宋体"/>
          <w:lang w:val="en-US" w:eastAsia="zh-CN"/>
        </w:rPr>
        <w:t>3.2-2</w:t>
      </w:r>
      <w:r>
        <w:rPr>
          <w:rFonts w:hint="default" w:ascii="宋体" w:eastAsia="宋体"/>
          <w:lang w:val="en-US" w:eastAsia="zh-CN"/>
        </w:rPr>
        <w:t xml:space="preserve">，同时结合清远市中心城区年径流总量控制率与设计降雨量的关系表（详见表 </w:t>
      </w:r>
      <w:r>
        <w:rPr>
          <w:rFonts w:hint="eastAsia" w:ascii="宋体" w:eastAsia="宋体"/>
          <w:lang w:val="en-US" w:eastAsia="zh-CN"/>
        </w:rPr>
        <w:t>3.2-3</w:t>
      </w:r>
      <w:r>
        <w:rPr>
          <w:rFonts w:hint="default" w:ascii="宋体" w:eastAsia="宋体"/>
          <w:lang w:val="en-US" w:eastAsia="zh-CN"/>
        </w:rPr>
        <w:t xml:space="preserve"> 及</w:t>
      </w:r>
      <w:r>
        <w:rPr>
          <w:rFonts w:hint="eastAsia" w:ascii="宋体" w:eastAsia="宋体"/>
          <w:lang w:val="en-US" w:eastAsia="zh-CN"/>
        </w:rPr>
        <w:t>表</w:t>
      </w:r>
      <w:r>
        <w:rPr>
          <w:rFonts w:hint="default" w:ascii="宋体" w:eastAsia="宋体"/>
          <w:lang w:val="en-US" w:eastAsia="zh-CN"/>
        </w:rPr>
        <w:t xml:space="preserve"> </w:t>
      </w:r>
      <w:r>
        <w:rPr>
          <w:rFonts w:hint="eastAsia" w:ascii="宋体" w:eastAsia="宋体"/>
          <w:lang w:val="en-US" w:eastAsia="zh-CN"/>
        </w:rPr>
        <w:t>3.2-4</w:t>
      </w:r>
      <w:r>
        <w:rPr>
          <w:rFonts w:hint="default" w:ascii="宋体" w:eastAsia="宋体"/>
          <w:lang w:val="en-US" w:eastAsia="zh-CN"/>
        </w:rPr>
        <w:t xml:space="preserve">），本项目设计降雨量取 </w:t>
      </w:r>
      <w:r>
        <w:rPr>
          <w:rFonts w:hint="eastAsia" w:ascii="宋体" w:eastAsia="宋体"/>
          <w:b/>
          <w:bCs/>
          <w:lang w:val="en-US" w:eastAsia="zh-CN"/>
        </w:rPr>
        <w:t>38.3</w:t>
      </w:r>
      <w:r>
        <w:rPr>
          <w:rFonts w:hint="default" w:ascii="宋体" w:eastAsia="宋体"/>
          <w:b/>
          <w:bCs/>
          <w:lang w:val="en-US" w:eastAsia="zh-CN"/>
        </w:rPr>
        <w:t>mm</w:t>
      </w:r>
      <w:r>
        <w:rPr>
          <w:rFonts w:hint="eastAsia" w:ascii="宋体" w:eastAsia="宋体"/>
          <w:lang w:val="en-US" w:eastAsia="zh-CN"/>
        </w:rPr>
        <w:t>。</w:t>
      </w:r>
    </w:p>
    <w:p>
      <w:pPr>
        <w:tabs>
          <w:tab w:val="left" w:pos="851"/>
        </w:tabs>
        <w:spacing w:before="156" w:after="156" w:line="360" w:lineRule="auto"/>
        <w:ind w:firstLine="480"/>
        <w:rPr>
          <w:rFonts w:hAnsi="宋体"/>
        </w:rPr>
      </w:pPr>
      <w:r>
        <w:drawing>
          <wp:inline distT="0" distB="0" distL="114300" distR="114300">
            <wp:extent cx="5271135" cy="2263140"/>
            <wp:effectExtent l="0" t="0" r="5715" b="381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12"/>
                    <a:stretch>
                      <a:fillRect/>
                    </a:stretch>
                  </pic:blipFill>
                  <pic:spPr>
                    <a:xfrm>
                      <a:off x="0" y="0"/>
                      <a:ext cx="5271135" cy="2263140"/>
                    </a:xfrm>
                    <a:prstGeom prst="rect">
                      <a:avLst/>
                    </a:prstGeom>
                    <a:noFill/>
                    <a:ln>
                      <a:noFill/>
                    </a:ln>
                  </pic:spPr>
                </pic:pic>
              </a:graphicData>
            </a:graphic>
          </wp:inline>
        </w:drawing>
      </w:r>
    </w:p>
    <w:p>
      <w:pPr>
        <w:pStyle w:val="3"/>
        <w:spacing w:before="156" w:after="156"/>
        <w:rPr>
          <w:color w:val="auto"/>
        </w:rPr>
      </w:pPr>
      <w:bookmarkStart w:id="22" w:name="_Toc16949"/>
      <w:r>
        <w:rPr>
          <w:rFonts w:hint="eastAsia"/>
          <w:color w:val="auto"/>
        </w:rPr>
        <w:t>3、海绵城市的设计</w:t>
      </w:r>
      <w:bookmarkEnd w:id="21"/>
      <w:bookmarkEnd w:id="22"/>
    </w:p>
    <w:p>
      <w:pPr>
        <w:pStyle w:val="4"/>
        <w:spacing w:before="156" w:after="156"/>
      </w:pPr>
      <w:bookmarkStart w:id="23" w:name="_Toc515977238"/>
      <w:bookmarkStart w:id="24" w:name="_Toc26720"/>
      <w:bookmarkStart w:id="25" w:name="_Toc527731089"/>
      <w:bookmarkStart w:id="26" w:name="_Toc10923"/>
      <w:bookmarkStart w:id="27" w:name="_Toc515976862"/>
      <w:bookmarkStart w:id="28" w:name="_Toc515976557"/>
      <w:r>
        <w:rPr>
          <w:rFonts w:hint="eastAsia"/>
        </w:rPr>
        <w:t>3.1、布置思路</w:t>
      </w:r>
      <w:bookmarkEnd w:id="23"/>
      <w:bookmarkEnd w:id="24"/>
      <w:bookmarkEnd w:id="25"/>
      <w:bookmarkEnd w:id="26"/>
      <w:bookmarkEnd w:id="27"/>
      <w:bookmarkEnd w:id="28"/>
    </w:p>
    <w:p>
      <w:pPr>
        <w:pStyle w:val="114"/>
        <w:spacing w:before="156" w:after="156"/>
        <w:ind w:firstLine="480"/>
      </w:pPr>
      <w:r>
        <w:rPr>
          <w:rFonts w:hint="eastAsia"/>
        </w:rPr>
        <w:t>根据项目用地性质、用地规模、项目定位及规划要求等实际情况合理布置海绵城市设施，场地内通过设置</w:t>
      </w:r>
      <w:r>
        <w:rPr>
          <w:rFonts w:hint="eastAsia"/>
          <w:lang w:val="en-US" w:eastAsia="zh-CN"/>
        </w:rPr>
        <w:t>下沉绿地</w:t>
      </w:r>
      <w:r>
        <w:rPr>
          <w:rFonts w:hint="eastAsia"/>
        </w:rPr>
        <w:t>等LID设施，对排水系统、绿地系统、道路系统等区域的雨水进行有效吸纳、蓄渗和缓释，有效控制雨水径流，实现海绵建设总体控制目标。</w:t>
      </w:r>
    </w:p>
    <w:p>
      <w:pPr>
        <w:spacing w:before="156" w:after="156" w:line="360" w:lineRule="auto"/>
        <w:ind w:left="480" w:leftChars="200" w:firstLine="0" w:firstLineChars="0"/>
      </w:pPr>
      <w:r>
        <w:rPr>
          <w:rFonts w:hint="eastAsia"/>
        </w:rPr>
        <w:t>本项目具体海绵城市规划方案如下</w:t>
      </w:r>
      <w:r>
        <w:t>：</w:t>
      </w:r>
    </w:p>
    <w:p>
      <w:pPr>
        <w:spacing w:before="156" w:after="156" w:line="360" w:lineRule="auto"/>
        <w:ind w:firstLine="0" w:firstLineChars="0"/>
      </w:pPr>
      <w:bookmarkStart w:id="29" w:name="_Toc527731090"/>
      <w:bookmarkStart w:id="30" w:name="_Toc515976863"/>
      <w:bookmarkStart w:id="31" w:name="_Toc6404"/>
      <w:bookmarkStart w:id="32" w:name="_Toc515976558"/>
      <w:bookmarkStart w:id="33" w:name="_Toc515977239"/>
      <w:r>
        <w:rPr>
          <w:rFonts w:hint="eastAsia"/>
        </w:rPr>
        <w:t>1.项目区域中的道路结合景观设计，采用</w:t>
      </w:r>
      <w:r>
        <w:rPr>
          <w:rFonts w:hint="eastAsia"/>
          <w:lang w:val="en-US" w:eastAsia="zh-CN"/>
        </w:rPr>
        <w:t>下沉绿地</w:t>
      </w:r>
      <w:r>
        <w:rPr>
          <w:rFonts w:hint="eastAsia"/>
        </w:rPr>
        <w:t>进行雨水调蓄，并在绿地内增设溢流井和溢流口；</w:t>
      </w:r>
    </w:p>
    <w:p>
      <w:pPr>
        <w:spacing w:before="156" w:after="156" w:line="360" w:lineRule="auto"/>
        <w:ind w:firstLine="0" w:firstLineChars="0"/>
      </w:pPr>
      <w:r>
        <w:rPr>
          <w:rFonts w:hint="eastAsia"/>
          <w:lang w:val="en-US" w:eastAsia="zh-CN"/>
        </w:rPr>
        <w:t>2</w:t>
      </w:r>
      <w:r>
        <w:rPr>
          <w:rFonts w:hint="eastAsia"/>
        </w:rPr>
        <w:t>.</w:t>
      </w:r>
      <w:r>
        <w:t>遵循暴雨处理为主、景观设计为辅的方针。</w:t>
      </w:r>
    </w:p>
    <w:p>
      <w:pPr>
        <w:pStyle w:val="2"/>
      </w:pPr>
    </w:p>
    <w:p>
      <w:pPr>
        <w:pStyle w:val="2"/>
      </w:pPr>
    </w:p>
    <w:p>
      <w:pPr>
        <w:pStyle w:val="2"/>
      </w:pPr>
    </w:p>
    <w:p>
      <w:pPr>
        <w:pStyle w:val="4"/>
        <w:spacing w:before="156" w:after="156"/>
      </w:pPr>
      <w:bookmarkStart w:id="34" w:name="_Toc13993"/>
      <w:r>
        <w:rPr>
          <w:rFonts w:hint="eastAsia"/>
        </w:rPr>
        <w:t>3.2、相关措施</w:t>
      </w:r>
      <w:bookmarkEnd w:id="29"/>
      <w:bookmarkEnd w:id="30"/>
      <w:bookmarkEnd w:id="31"/>
      <w:bookmarkEnd w:id="32"/>
      <w:bookmarkEnd w:id="33"/>
      <w:bookmarkEnd w:id="34"/>
    </w:p>
    <w:p>
      <w:pPr>
        <w:pStyle w:val="114"/>
        <w:spacing w:before="156" w:after="156"/>
        <w:ind w:left="480" w:hanging="480" w:hangingChars="200"/>
        <w:rPr>
          <w:rFonts w:hint="default" w:eastAsia="宋体"/>
          <w:lang w:val="en-US" w:eastAsia="zh-CN"/>
        </w:rPr>
      </w:pPr>
      <w:bookmarkStart w:id="35" w:name="_Toc515976865"/>
      <w:bookmarkStart w:id="36" w:name="_Toc515977241"/>
      <w:bookmarkStart w:id="37" w:name="_Toc515976560"/>
      <w:r>
        <w:rPr>
          <w:rFonts w:hint="eastAsia"/>
        </w:rPr>
        <w:t>1）</w:t>
      </w:r>
      <w:r>
        <w:rPr>
          <w:rFonts w:hint="eastAsia"/>
          <w:lang w:val="en-US" w:eastAsia="zh-CN"/>
        </w:rPr>
        <w:t>下沉绿地</w:t>
      </w:r>
    </w:p>
    <w:p>
      <w:pPr>
        <w:spacing w:before="156" w:after="156" w:line="360" w:lineRule="auto"/>
        <w:ind w:firstLine="480"/>
        <w:rPr>
          <w:color w:val="auto"/>
          <w:highlight w:val="none"/>
        </w:rPr>
      </w:pPr>
      <w:r>
        <w:rPr>
          <w:rFonts w:hint="eastAsia"/>
          <w:color w:val="auto"/>
          <w:highlight w:val="none"/>
        </w:rPr>
        <w:t>下沉绿地是一种具有渗蓄雨水、削减洪峰流量、减轻地表径流污染等优点的生态型的雨水渗透设施。较普通绿地而言，下沉绿地利用下沉空间充分蓄集雨水，显著增加了雨水下渗时间。</w:t>
      </w:r>
    </w:p>
    <w:p>
      <w:pPr>
        <w:spacing w:before="156" w:after="156" w:line="360" w:lineRule="auto"/>
        <w:ind w:firstLine="480"/>
        <w:rPr>
          <w:color w:val="auto"/>
          <w:highlight w:val="none"/>
        </w:rPr>
      </w:pPr>
      <w:r>
        <w:rPr>
          <w:rFonts w:hint="eastAsia"/>
          <w:color w:val="auto"/>
          <w:highlight w:val="none"/>
        </w:rPr>
        <w:t>典型的下沉绿地结构为：绿地高程低于路面高程，雨水口设在绿地内，雨水口低于路面高程的绿地并高于绿地高程。下沉绿地汇集周围道路、建筑物等区域产生的雨水径流，雨水径流先流入绿地，部分雨水渗入地下，绿地蓄满水后再流入雨水口。</w:t>
      </w:r>
    </w:p>
    <w:p>
      <w:pPr>
        <w:spacing w:before="156" w:after="156" w:line="360" w:lineRule="auto"/>
        <w:ind w:left="3360" w:leftChars="800" w:hanging="1440" w:hangingChars="600"/>
        <w:jc w:val="both"/>
        <w:rPr>
          <w:rFonts w:hint="eastAsia" w:hAnsi="宋体" w:cs="宋体"/>
          <w:b/>
          <w:bCs/>
          <w:color w:val="auto"/>
          <w:highlight w:val="none"/>
        </w:rPr>
      </w:pPr>
      <w:r>
        <w:drawing>
          <wp:inline distT="0" distB="0" distL="114300" distR="114300">
            <wp:extent cx="3195955" cy="2125345"/>
            <wp:effectExtent l="0" t="0" r="4445" b="8255"/>
            <wp:docPr id="3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5"/>
                    <pic:cNvPicPr>
                      <a:picLocks noChangeAspect="1"/>
                    </pic:cNvPicPr>
                  </pic:nvPicPr>
                  <pic:blipFill>
                    <a:blip r:embed="rId13"/>
                    <a:stretch>
                      <a:fillRect/>
                    </a:stretch>
                  </pic:blipFill>
                  <pic:spPr>
                    <a:xfrm>
                      <a:off x="0" y="0"/>
                      <a:ext cx="3195955" cy="2125345"/>
                    </a:xfrm>
                    <a:prstGeom prst="rect">
                      <a:avLst/>
                    </a:prstGeom>
                    <a:noFill/>
                    <a:ln>
                      <a:noFill/>
                    </a:ln>
                  </pic:spPr>
                </pic:pic>
              </a:graphicData>
            </a:graphic>
          </wp:inline>
        </w:drawing>
      </w:r>
      <w:r>
        <w:br w:type="textWrapping"/>
      </w:r>
      <w:r>
        <w:rPr>
          <w:rFonts w:hint="eastAsia" w:hAnsi="宋体" w:cs="宋体"/>
          <w:b/>
          <w:bCs/>
          <w:color w:val="auto"/>
          <w:highlight w:val="none"/>
        </w:rPr>
        <w:t>图3-1  下沉绿地示意图</w:t>
      </w:r>
    </w:p>
    <w:p>
      <w:pPr>
        <w:spacing w:before="156" w:after="156" w:line="360" w:lineRule="auto"/>
        <w:ind w:firstLine="480"/>
        <w:rPr>
          <w:rFonts w:hint="eastAsia" w:ascii="宋体" w:eastAsia="宋体"/>
          <w:color w:val="auto"/>
          <w:highlight w:val="none"/>
        </w:rPr>
      </w:pPr>
      <w:r>
        <w:rPr>
          <w:rFonts w:hint="eastAsia" w:ascii="宋体" w:eastAsia="宋体"/>
          <w:color w:val="auto"/>
          <w:highlight w:val="none"/>
          <w:lang w:val="en-US" w:eastAsia="zh-CN"/>
        </w:rPr>
        <w:t xml:space="preserve"> </w:t>
      </w:r>
      <w:r>
        <w:rPr>
          <w:rFonts w:hint="eastAsia" w:ascii="宋体" w:eastAsia="宋体"/>
          <w:color w:val="auto"/>
          <w:highlight w:val="none"/>
        </w:rPr>
        <w:t>景观设计时，下沉绿地高程低于周边路面高程2</w:t>
      </w:r>
      <w:r>
        <w:rPr>
          <w:rFonts w:hint="eastAsia" w:ascii="宋体" w:eastAsia="宋体"/>
          <w:color w:val="auto"/>
          <w:highlight w:val="none"/>
          <w:lang w:val="en-US" w:eastAsia="zh-CN"/>
        </w:rPr>
        <w:t>0</w:t>
      </w:r>
      <w:r>
        <w:rPr>
          <w:rFonts w:hint="eastAsia" w:ascii="宋体" w:eastAsia="宋体"/>
          <w:color w:val="auto"/>
          <w:highlight w:val="none"/>
        </w:rPr>
        <w:t>cm，以利于周边道路雨水径流的汇入。室外道路排水口移到绿地内，雨水溢流口比绿地高</w:t>
      </w:r>
      <w:r>
        <w:rPr>
          <w:rFonts w:hint="eastAsia" w:ascii="宋体" w:eastAsia="宋体"/>
          <w:color w:val="auto"/>
          <w:highlight w:val="none"/>
          <w:lang w:val="en-US" w:eastAsia="zh-CN"/>
        </w:rPr>
        <w:t>15</w:t>
      </w:r>
      <w:r>
        <w:rPr>
          <w:rFonts w:hint="eastAsia" w:ascii="宋体" w:eastAsia="宋体"/>
          <w:color w:val="auto"/>
          <w:highlight w:val="none"/>
        </w:rPr>
        <w:t>cm。下沉绿地边缘应设置平道牙，便于雨水顺利流入。同时，下沉绿地处设置警示标识，避免事故发生。</w:t>
      </w:r>
    </w:p>
    <w:p>
      <w:pPr>
        <w:spacing w:before="156" w:after="156" w:line="360" w:lineRule="auto"/>
        <w:ind w:left="3120" w:leftChars="400" w:hanging="2160" w:hangingChars="900"/>
        <w:jc w:val="both"/>
        <w:rPr>
          <w:color w:val="auto"/>
          <w:highlight w:val="none"/>
        </w:rPr>
      </w:pPr>
      <w:r>
        <w:rPr>
          <w:rFonts w:hint="eastAsia"/>
          <w:color w:val="auto"/>
          <w:highlight w:val="none"/>
          <w:lang w:val="en-US" w:eastAsia="zh-CN"/>
        </w:rPr>
        <w:t xml:space="preserve">         </w:t>
      </w:r>
      <w:r>
        <w:rPr>
          <w:color w:val="auto"/>
          <w:highlight w:val="none"/>
        </w:rPr>
        <w:drawing>
          <wp:inline distT="0" distB="0" distL="114300" distR="114300">
            <wp:extent cx="2861945" cy="1802130"/>
            <wp:effectExtent l="0" t="0" r="14605" b="762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4"/>
                    <a:stretch>
                      <a:fillRect/>
                    </a:stretch>
                  </pic:blipFill>
                  <pic:spPr>
                    <a:xfrm>
                      <a:off x="0" y="0"/>
                      <a:ext cx="2861945" cy="1802130"/>
                    </a:xfrm>
                    <a:prstGeom prst="rect">
                      <a:avLst/>
                    </a:prstGeom>
                    <a:noFill/>
                    <a:ln w="9525">
                      <a:noFill/>
                    </a:ln>
                  </pic:spPr>
                </pic:pic>
              </a:graphicData>
            </a:graphic>
          </wp:inline>
        </w:drawing>
      </w:r>
      <w:r>
        <w:rPr>
          <w:color w:val="auto"/>
          <w:highlight w:val="none"/>
        </w:rPr>
        <w:br w:type="textWrapping"/>
      </w:r>
      <w:r>
        <w:rPr>
          <w:rFonts w:hint="eastAsia" w:hAnsi="宋体" w:cs="宋体"/>
          <w:b/>
          <w:bCs/>
          <w:color w:val="auto"/>
          <w:highlight w:val="none"/>
        </w:rPr>
        <w:t>图3-2 下沉绿地实景图</w:t>
      </w:r>
    </w:p>
    <w:p>
      <w:pPr>
        <w:pStyle w:val="114"/>
        <w:spacing w:before="156" w:after="156"/>
        <w:rPr>
          <w:color w:val="auto"/>
          <w:highlight w:val="none"/>
        </w:rPr>
      </w:pPr>
      <w:r>
        <w:rPr>
          <w:rFonts w:hint="eastAsia" w:ascii="宋体" w:eastAsia="宋体"/>
          <w:lang w:val="en-US" w:eastAsia="zh-CN"/>
        </w:rPr>
        <w:t>2）透水铺装</w:t>
      </w:r>
    </w:p>
    <w:p>
      <w:pPr>
        <w:spacing w:before="156" w:after="156" w:line="360" w:lineRule="auto"/>
        <w:ind w:left="480" w:firstLine="480"/>
        <w:rPr>
          <w:color w:val="auto"/>
          <w:highlight w:val="none"/>
        </w:rPr>
      </w:pPr>
      <w:r>
        <w:rPr>
          <w:rFonts w:hint="eastAsia"/>
          <w:color w:val="auto"/>
          <w:highlight w:val="none"/>
        </w:rPr>
        <w:t>本项目场地内人行道等均设计采用透水铺装，透水铺装地面透水面层采用成品透水</w:t>
      </w:r>
      <w:r>
        <w:rPr>
          <w:rFonts w:hint="eastAsia"/>
          <w:color w:val="auto"/>
          <w:highlight w:val="none"/>
          <w:lang w:val="en-US" w:eastAsia="zh-CN"/>
        </w:rPr>
        <w:t>混凝土</w:t>
      </w:r>
      <w:r>
        <w:rPr>
          <w:rFonts w:hint="eastAsia"/>
          <w:color w:val="auto"/>
          <w:highlight w:val="none"/>
        </w:rPr>
        <w:t>。</w:t>
      </w:r>
    </w:p>
    <w:p>
      <w:pPr>
        <w:spacing w:before="156" w:after="156" w:line="360" w:lineRule="auto"/>
        <w:ind w:left="3360" w:leftChars="0" w:hanging="3360" w:hangingChars="1400"/>
        <w:jc w:val="left"/>
      </w:pPr>
      <w:r>
        <w:rPr>
          <w:rFonts w:hint="eastAsia"/>
          <w:lang w:val="en-US" w:eastAsia="zh-CN"/>
        </w:rPr>
        <w:t xml:space="preserve">    </w:t>
      </w:r>
      <w:r>
        <w:drawing>
          <wp:inline distT="0" distB="0" distL="114300" distR="114300">
            <wp:extent cx="2775585" cy="2265045"/>
            <wp:effectExtent l="0" t="0" r="5715" b="1905"/>
            <wp:docPr id="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pic:cNvPicPr>
                      <a:picLocks noChangeAspect="1"/>
                    </pic:cNvPicPr>
                  </pic:nvPicPr>
                  <pic:blipFill>
                    <a:blip r:embed="rId15"/>
                    <a:srcRect b="19234"/>
                    <a:stretch>
                      <a:fillRect/>
                    </a:stretch>
                  </pic:blipFill>
                  <pic:spPr>
                    <a:xfrm>
                      <a:off x="0" y="0"/>
                      <a:ext cx="2775585" cy="2265045"/>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2332990" cy="2258695"/>
            <wp:effectExtent l="0" t="0" r="1016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6"/>
                    <a:stretch>
                      <a:fillRect/>
                    </a:stretch>
                  </pic:blipFill>
                  <pic:spPr>
                    <a:xfrm>
                      <a:off x="0" y="0"/>
                      <a:ext cx="2332990" cy="2258695"/>
                    </a:xfrm>
                    <a:prstGeom prst="rect">
                      <a:avLst/>
                    </a:prstGeom>
                    <a:noFill/>
                    <a:ln>
                      <a:noFill/>
                    </a:ln>
                  </pic:spPr>
                </pic:pic>
              </a:graphicData>
            </a:graphic>
          </wp:inline>
        </w:drawing>
      </w:r>
    </w:p>
    <w:p>
      <w:pPr>
        <w:spacing w:before="156" w:after="156" w:line="360" w:lineRule="auto"/>
        <w:ind w:left="3374" w:leftChars="402" w:hanging="2409" w:hangingChars="1000"/>
        <w:jc w:val="left"/>
        <w:rPr>
          <w:rFonts w:hint="eastAsia" w:hAnsi="宋体" w:cs="宋体"/>
          <w:b/>
          <w:bCs/>
          <w:color w:val="auto"/>
          <w:highlight w:val="none"/>
          <w:lang w:val="en-US" w:eastAsia="zh-CN"/>
        </w:rPr>
      </w:pPr>
      <w:r>
        <w:rPr>
          <w:rFonts w:hint="eastAsia" w:hAnsi="宋体" w:cs="宋体"/>
          <w:b/>
          <w:bCs/>
          <w:color w:val="auto"/>
          <w:highlight w:val="none"/>
        </w:rPr>
        <w:t>图3-</w:t>
      </w:r>
      <w:r>
        <w:rPr>
          <w:rFonts w:hint="eastAsia" w:hAnsi="宋体" w:cs="宋体"/>
          <w:b/>
          <w:bCs/>
          <w:color w:val="auto"/>
          <w:highlight w:val="none"/>
          <w:lang w:val="en-US" w:eastAsia="zh-CN"/>
        </w:rPr>
        <w:t>3</w:t>
      </w:r>
      <w:r>
        <w:rPr>
          <w:rFonts w:hint="eastAsia" w:hAnsi="宋体" w:cs="宋体"/>
          <w:b/>
          <w:bCs/>
          <w:color w:val="auto"/>
          <w:highlight w:val="none"/>
        </w:rPr>
        <w:t xml:space="preserve">  </w:t>
      </w:r>
      <w:r>
        <w:rPr>
          <w:rFonts w:hint="eastAsia" w:hAnsi="宋体" w:cs="宋体"/>
          <w:b/>
          <w:bCs/>
          <w:color w:val="auto"/>
          <w:highlight w:val="none"/>
          <w:lang w:val="en-US" w:eastAsia="zh-CN"/>
        </w:rPr>
        <w:t xml:space="preserve">透水混凝土做法大样图         </w:t>
      </w:r>
      <w:r>
        <w:rPr>
          <w:rFonts w:hint="eastAsia" w:hAnsi="宋体" w:cs="宋体"/>
          <w:b/>
          <w:bCs/>
          <w:color w:val="auto"/>
          <w:highlight w:val="none"/>
        </w:rPr>
        <w:t>图3-</w:t>
      </w:r>
      <w:r>
        <w:rPr>
          <w:rFonts w:hint="eastAsia" w:hAnsi="宋体" w:cs="宋体"/>
          <w:b/>
          <w:bCs/>
          <w:color w:val="auto"/>
          <w:highlight w:val="none"/>
          <w:lang w:val="en-US" w:eastAsia="zh-CN"/>
        </w:rPr>
        <w:t>4</w:t>
      </w:r>
      <w:r>
        <w:rPr>
          <w:rFonts w:hint="eastAsia" w:hAnsi="宋体" w:cs="宋体"/>
          <w:b/>
          <w:bCs/>
          <w:color w:val="auto"/>
          <w:highlight w:val="none"/>
        </w:rPr>
        <w:t xml:space="preserve">  </w:t>
      </w:r>
      <w:r>
        <w:rPr>
          <w:rFonts w:hint="eastAsia" w:hAnsi="宋体" w:cs="宋体"/>
          <w:b/>
          <w:bCs/>
          <w:color w:val="auto"/>
          <w:highlight w:val="none"/>
          <w:lang w:val="en-US" w:eastAsia="zh-CN"/>
        </w:rPr>
        <w:t xml:space="preserve">透水混凝土实景图              </w:t>
      </w:r>
    </w:p>
    <w:p>
      <w:pPr>
        <w:spacing w:before="156" w:after="156" w:line="360" w:lineRule="auto"/>
        <w:ind w:left="3373" w:leftChars="0" w:hanging="3373" w:hangingChars="1400"/>
        <w:jc w:val="left"/>
        <w:rPr>
          <w:rFonts w:hint="eastAsia" w:hAnsi="宋体" w:cs="宋体"/>
          <w:b/>
          <w:bCs/>
          <w:color w:val="auto"/>
          <w:highlight w:val="none"/>
        </w:rPr>
      </w:pPr>
      <w:r>
        <w:rPr>
          <w:rFonts w:hint="eastAsia" w:hAnsi="宋体" w:cs="宋体"/>
          <w:b/>
          <w:bCs/>
          <w:color w:val="auto"/>
          <w:highlight w:val="none"/>
          <w:lang w:val="en-US" w:eastAsia="zh-CN"/>
        </w:rPr>
        <w:t xml:space="preserve">                      </w:t>
      </w:r>
    </w:p>
    <w:bookmarkEnd w:id="35"/>
    <w:bookmarkEnd w:id="36"/>
    <w:bookmarkEnd w:id="37"/>
    <w:p>
      <w:pPr>
        <w:pStyle w:val="3"/>
        <w:spacing w:before="156" w:after="156" w:line="360" w:lineRule="auto"/>
        <w:rPr>
          <w:color w:val="auto"/>
        </w:rPr>
      </w:pPr>
      <w:bookmarkStart w:id="38" w:name="_Toc1733385"/>
      <w:bookmarkStart w:id="39" w:name="_Toc32443"/>
      <w:bookmarkStart w:id="40" w:name="_Toc19878"/>
      <w:r>
        <w:rPr>
          <w:rFonts w:hint="eastAsia"/>
          <w:color w:val="auto"/>
        </w:rPr>
        <w:t>4、海绵城市的计算</w:t>
      </w:r>
      <w:bookmarkEnd w:id="38"/>
      <w:bookmarkEnd w:id="39"/>
      <w:bookmarkEnd w:id="40"/>
    </w:p>
    <w:p>
      <w:pPr>
        <w:spacing w:before="156" w:after="156" w:line="360" w:lineRule="auto"/>
        <w:ind w:firstLine="480"/>
      </w:pPr>
      <w:r>
        <w:rPr>
          <w:rFonts w:hint="eastAsia"/>
        </w:rPr>
        <w:t>本项目采用容积法设计，即以径流总量控制为目标，控制地块内各低影响开发设施的设计调蓄容积之和，即总调蓄容积，一般不低于该地块“单位面积控制容积”的控制要求。</w:t>
      </w:r>
      <w:r>
        <w:rPr>
          <w:rFonts w:hint="eastAsia" w:hAnsi="宋体" w:cs="宋体"/>
        </w:rPr>
        <w:t>场地内通过设置</w:t>
      </w:r>
      <w:r>
        <w:rPr>
          <w:rFonts w:hint="eastAsia" w:hAnsi="宋体" w:cs="宋体"/>
          <w:lang w:val="en-US" w:eastAsia="zh-CN"/>
        </w:rPr>
        <w:t>下沉绿地</w:t>
      </w:r>
      <w:r>
        <w:rPr>
          <w:rFonts w:hint="eastAsia" w:hAnsi="宋体" w:cs="宋体"/>
        </w:rPr>
        <w:t>LID设施，对排水系统、绿地系统、道路系统等区域的雨水进行有效吸纳、蓄渗和缓释，有效控制雨水径流，实现海绵建设总体控制目标。</w:t>
      </w:r>
    </w:p>
    <w:p>
      <w:pPr>
        <w:spacing w:before="156" w:after="156" w:line="360" w:lineRule="auto"/>
        <w:ind w:firstLine="480"/>
      </w:pPr>
      <w:r>
        <w:rPr>
          <w:rFonts w:hint="eastAsia"/>
        </w:rPr>
        <w:t>容积法：低影响开发设施以径流总量和径流污染为控制目标进行设计时，设计调蓄容积计算公式如下：</w:t>
      </w:r>
    </w:p>
    <w:p>
      <w:pPr>
        <w:spacing w:before="156" w:after="156" w:line="360" w:lineRule="auto"/>
        <w:ind w:firstLine="480"/>
        <w:jc w:val="center"/>
      </w:pPr>
      <w:r>
        <w:rPr>
          <w:rFonts w:hAnsi="宋体"/>
          <w:position w:val="-10"/>
        </w:rPr>
        <w:object>
          <v:shape id="_x0000_i1025" o:spt="75" type="#_x0000_t75" style="height:26.9pt;width:92.85pt;" o:ole="t" filled="f" o:preferrelative="t" stroked="f" coordsize="21600,21600">
            <v:path/>
            <v:fill on="f" focussize="0,0"/>
            <v:stroke on="f" joinstyle="miter"/>
            <v:imagedata r:id="rId18" o:title=""/>
            <o:lock v:ext="edit" aspectratio="t"/>
            <w10:wrap type="none"/>
            <w10:anchorlock/>
          </v:shape>
          <o:OLEObject Type="Embed" ProgID="Equation.3" ShapeID="_x0000_i1025" DrawAspect="Content" ObjectID="_1468075725" r:id="rId17">
            <o:LockedField>false</o:LockedField>
          </o:OLEObject>
        </w:object>
      </w:r>
    </w:p>
    <w:p>
      <w:pPr>
        <w:spacing w:before="156" w:after="156" w:line="360" w:lineRule="auto"/>
        <w:ind w:firstLine="480"/>
      </w:pPr>
      <w:r>
        <w:rPr>
          <w:rFonts w:hint="eastAsia"/>
        </w:rPr>
        <w:t>式中：V--设计调蓄容积，m³；</w:t>
      </w:r>
    </w:p>
    <w:p>
      <w:pPr>
        <w:spacing w:before="156" w:after="156" w:line="360" w:lineRule="auto"/>
        <w:ind w:left="480" w:leftChars="200" w:firstLine="720" w:firstLineChars="300"/>
      </w:pPr>
      <w:r>
        <w:rPr>
          <w:rFonts w:hAnsi="宋体"/>
        </w:rPr>
        <w:drawing>
          <wp:inline distT="0" distB="0" distL="114300" distR="114300">
            <wp:extent cx="133350" cy="161925"/>
            <wp:effectExtent l="0" t="0" r="0" b="7620"/>
            <wp:docPr id="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2"/>
                    <pic:cNvPicPr>
                      <a:picLocks noChangeAspect="1"/>
                    </pic:cNvPicPr>
                  </pic:nvPicPr>
                  <pic:blipFill>
                    <a:blip r:embed="rId19"/>
                    <a:stretch>
                      <a:fillRect/>
                    </a:stretch>
                  </pic:blipFill>
                  <pic:spPr>
                    <a:xfrm>
                      <a:off x="0" y="0"/>
                      <a:ext cx="133350" cy="161925"/>
                    </a:xfrm>
                    <a:prstGeom prst="rect">
                      <a:avLst/>
                    </a:prstGeom>
                    <a:noFill/>
                    <a:ln w="9525">
                      <a:noFill/>
                    </a:ln>
                  </pic:spPr>
                </pic:pic>
              </a:graphicData>
            </a:graphic>
          </wp:inline>
        </w:drawing>
      </w:r>
      <w:r>
        <w:rPr>
          <w:rFonts w:hint="eastAsia"/>
        </w:rPr>
        <w:t>--综合雨量径流系数；</w:t>
      </w:r>
    </w:p>
    <w:p>
      <w:pPr>
        <w:spacing w:before="156" w:after="156" w:line="360" w:lineRule="auto"/>
        <w:ind w:firstLine="1200" w:firstLineChars="500"/>
      </w:pPr>
      <w:r>
        <w:rPr>
          <w:rFonts w:hint="eastAsia"/>
        </w:rPr>
        <w:t>h--设计降雨量，mm；</w:t>
      </w:r>
    </w:p>
    <w:p>
      <w:pPr>
        <w:spacing w:before="156" w:after="156" w:line="360" w:lineRule="auto"/>
        <w:ind w:firstLine="1200" w:firstLineChars="500"/>
      </w:pPr>
      <w:r>
        <w:rPr>
          <w:rFonts w:hint="eastAsia"/>
        </w:rPr>
        <w:t>F--汇水面积，ha；</w:t>
      </w:r>
    </w:p>
    <w:p>
      <w:pPr>
        <w:tabs>
          <w:tab w:val="left" w:pos="851"/>
        </w:tabs>
        <w:spacing w:before="156" w:after="156" w:line="360" w:lineRule="auto"/>
        <w:ind w:firstLine="480"/>
      </w:pPr>
      <w:bookmarkStart w:id="41" w:name="_Toc28113"/>
      <w:bookmarkStart w:id="42" w:name="_Toc515976869"/>
      <w:bookmarkStart w:id="43" w:name="_Toc515977245"/>
      <w:bookmarkStart w:id="44" w:name="_Toc515976564"/>
      <w:bookmarkStart w:id="45" w:name="_Toc527731092"/>
      <w:r>
        <w:rPr>
          <w:rFonts w:hint="eastAsia"/>
        </w:rPr>
        <w:t>根据《</w:t>
      </w:r>
      <w:r>
        <w:rPr>
          <w:rFonts w:hint="eastAsia"/>
          <w:lang w:val="en-US" w:eastAsia="zh-CN"/>
        </w:rPr>
        <w:t>清远市中心城区海绵城市建设技术导则</w:t>
      </w:r>
      <w:r>
        <w:rPr>
          <w:rFonts w:hint="eastAsia"/>
        </w:rPr>
        <w:t>》，本项目</w:t>
      </w:r>
      <w:r>
        <w:rPr>
          <w:rFonts w:hint="eastAsia"/>
          <w:lang w:val="en-US" w:eastAsia="zh-CN"/>
        </w:rPr>
        <w:t>为A类公共建筑</w:t>
      </w:r>
      <w:r>
        <w:rPr>
          <w:rFonts w:hint="eastAsia"/>
        </w:rPr>
        <w:t>，年径流总量控制率为</w:t>
      </w:r>
      <w:r>
        <w:rPr>
          <w:rFonts w:hint="eastAsia"/>
          <w:lang w:val="en-US" w:eastAsia="zh-CN"/>
        </w:rPr>
        <w:t>80</w:t>
      </w:r>
      <w:r>
        <w:rPr>
          <w:rFonts w:hint="eastAsia"/>
        </w:rPr>
        <w:t>%，对应设计降雨量为</w:t>
      </w:r>
      <w:r>
        <w:rPr>
          <w:rFonts w:hint="eastAsia"/>
          <w:lang w:val="en-US" w:eastAsia="zh-CN"/>
        </w:rPr>
        <w:t>38.30</w:t>
      </w:r>
      <w:r>
        <w:rPr>
          <w:rFonts w:hint="eastAsia"/>
        </w:rPr>
        <w:t>mm。</w:t>
      </w:r>
    </w:p>
    <w:p>
      <w:pPr>
        <w:pStyle w:val="4"/>
        <w:spacing w:before="156" w:after="156"/>
      </w:pPr>
      <w:r>
        <w:rPr>
          <w:rFonts w:hint="eastAsia"/>
        </w:rPr>
        <w:t>4.1、汇水分区的划分</w:t>
      </w:r>
      <w:bookmarkEnd w:id="41"/>
      <w:bookmarkEnd w:id="42"/>
      <w:bookmarkEnd w:id="43"/>
      <w:bookmarkEnd w:id="44"/>
      <w:bookmarkEnd w:id="45"/>
    </w:p>
    <w:p>
      <w:pPr>
        <w:spacing w:before="156" w:after="156"/>
        <w:ind w:firstLine="480"/>
        <w:rPr>
          <w:rFonts w:hint="default"/>
          <w:lang w:val="en-US"/>
        </w:rPr>
      </w:pPr>
      <w:r>
        <w:rPr>
          <w:rFonts w:hint="eastAsia"/>
        </w:rPr>
        <w:t>根据项目的竖向和排水组织关系，本项目场地</w:t>
      </w:r>
      <w:r>
        <w:rPr>
          <w:rFonts w:hint="eastAsia"/>
          <w:lang w:val="en-US" w:eastAsia="zh-CN"/>
        </w:rPr>
        <w:t>共细分为3个汇水分区，详见《下垫面分类布局图》。</w:t>
      </w:r>
    </w:p>
    <w:p>
      <w:pPr>
        <w:spacing w:before="156" w:after="156" w:line="360" w:lineRule="auto"/>
        <w:ind w:firstLine="480"/>
      </w:pPr>
      <w:r>
        <w:rPr>
          <w:rFonts w:hint="eastAsia"/>
        </w:rPr>
        <w:t>根据海绵城市设施分布情况，本项目雨水系统主要流程如下：</w:t>
      </w:r>
      <w:r>
        <w:br w:type="textWrapping"/>
      </w:r>
      <w:r>
        <w:drawing>
          <wp:inline distT="0" distB="0" distL="114300" distR="114300">
            <wp:extent cx="5689600" cy="2243455"/>
            <wp:effectExtent l="0" t="0" r="635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20"/>
                    <a:stretch>
                      <a:fillRect/>
                    </a:stretch>
                  </pic:blipFill>
                  <pic:spPr>
                    <a:xfrm>
                      <a:off x="0" y="0"/>
                      <a:ext cx="5689600" cy="2243455"/>
                    </a:xfrm>
                    <a:prstGeom prst="rect">
                      <a:avLst/>
                    </a:prstGeom>
                    <a:noFill/>
                    <a:ln>
                      <a:noFill/>
                    </a:ln>
                  </pic:spPr>
                </pic:pic>
              </a:graphicData>
            </a:graphic>
          </wp:inline>
        </w:drawing>
      </w:r>
    </w:p>
    <w:p>
      <w:pPr>
        <w:spacing w:before="156" w:after="156" w:line="360" w:lineRule="auto"/>
        <w:ind w:firstLine="0" w:firstLineChars="0"/>
        <w:jc w:val="center"/>
      </w:pPr>
      <w:r>
        <w:rPr>
          <w:rFonts w:hint="eastAsia" w:ascii="Calibri" w:hAnsi="Calibri"/>
          <w:b/>
          <w:kern w:val="2"/>
        </w:rPr>
        <w:t>图</w:t>
      </w:r>
      <w:r>
        <w:rPr>
          <w:rFonts w:hint="eastAsia"/>
          <w:b/>
          <w:kern w:val="2"/>
        </w:rPr>
        <w:t>4-1 雨水系统流程图</w:t>
      </w:r>
    </w:p>
    <w:p>
      <w:pPr>
        <w:pStyle w:val="4"/>
        <w:spacing w:before="156" w:after="156"/>
      </w:pPr>
      <w:bookmarkStart w:id="46" w:name="_Toc515976565"/>
      <w:bookmarkStart w:id="47" w:name="_Toc515977246"/>
      <w:bookmarkStart w:id="48" w:name="_Toc515976870"/>
      <w:bookmarkStart w:id="49" w:name="_Toc17854"/>
      <w:bookmarkStart w:id="50" w:name="_Toc26718"/>
      <w:bookmarkStart w:id="51" w:name="_Toc527731093"/>
      <w:r>
        <w:rPr>
          <w:rFonts w:hint="eastAsia"/>
        </w:rPr>
        <w:t>4.2</w:t>
      </w:r>
      <w:bookmarkEnd w:id="46"/>
      <w:bookmarkEnd w:id="47"/>
      <w:bookmarkEnd w:id="48"/>
      <w:bookmarkEnd w:id="49"/>
      <w:r>
        <w:rPr>
          <w:rFonts w:hint="eastAsia"/>
        </w:rPr>
        <w:t>、通过综合雨量径流系数的方法所需的调蓄容积</w:t>
      </w:r>
      <w:bookmarkEnd w:id="50"/>
      <w:bookmarkEnd w:id="51"/>
    </w:p>
    <w:p>
      <w:pPr>
        <w:spacing w:before="156" w:after="156" w:line="360" w:lineRule="auto"/>
        <w:ind w:firstLine="480"/>
        <w:rPr>
          <w:b/>
        </w:rPr>
      </w:pPr>
      <w:r>
        <w:rPr>
          <w:rFonts w:hint="eastAsia" w:hAnsi="宋体" w:cs="宋体"/>
        </w:rPr>
        <w:t>本项目下垫面类型包括建筑硬化屋面、普通绿地、</w:t>
      </w:r>
      <w:r>
        <w:rPr>
          <w:rFonts w:hint="eastAsia"/>
          <w:lang w:val="en-US" w:eastAsia="zh-CN"/>
        </w:rPr>
        <w:t>下沉绿地</w:t>
      </w:r>
      <w:r>
        <w:rPr>
          <w:rFonts w:hint="eastAsia" w:hAnsi="宋体" w:cs="宋体"/>
        </w:rPr>
        <w:t>、透水铺装、不透水铺装等。根据本项目所需控制的调蓄容积，本项目低影响开发设施总体布局详：海绵城市设施分布总平面图。</w:t>
      </w:r>
    </w:p>
    <w:p>
      <w:pPr>
        <w:spacing w:before="156" w:after="156" w:line="360" w:lineRule="auto"/>
        <w:ind w:firstLine="480"/>
        <w:rPr>
          <w:rFonts w:hAnsi="宋体" w:cs="宋体"/>
          <w:color w:val="auto"/>
          <w:highlight w:val="none"/>
        </w:rPr>
      </w:pPr>
      <w:r>
        <w:rPr>
          <w:rFonts w:hint="eastAsia" w:hAnsi="宋体" w:cs="宋体"/>
          <w:color w:val="auto"/>
          <w:highlight w:val="none"/>
        </w:rPr>
        <w:t>根据</w:t>
      </w:r>
      <w:r>
        <w:rPr>
          <w:rFonts w:hint="eastAsia" w:ascii="宋体" w:hAnsi="宋体"/>
          <w:smallCaps/>
          <w:sz w:val="24"/>
        </w:rPr>
        <w:t>《室外排水设计标准》GB50014-2021</w:t>
      </w:r>
      <w:r>
        <w:rPr>
          <w:rFonts w:hint="eastAsia" w:ascii="宋体" w:hAnsi="宋体"/>
          <w:smallCaps/>
          <w:sz w:val="24"/>
          <w:lang w:val="en-US" w:eastAsia="zh-CN"/>
        </w:rPr>
        <w:t>中表4.1.8-1</w:t>
      </w:r>
      <w:r>
        <w:rPr>
          <w:rFonts w:hint="eastAsia" w:hAnsi="宋体" w:cs="宋体"/>
          <w:color w:val="auto"/>
          <w:highlight w:val="none"/>
        </w:rPr>
        <w:t>和《海绵城市建设技术指南——低影响开发雨水系统构建》中表4-3，可分别确定各类下垫面的综合雨量径流系数取值。</w:t>
      </w:r>
    </w:p>
    <w:p>
      <w:pPr>
        <w:spacing w:before="156" w:after="156"/>
        <w:ind w:firstLine="0" w:firstLineChars="0"/>
        <w:jc w:val="center"/>
        <w:rPr>
          <w:rFonts w:cs="宋体"/>
        </w:rPr>
      </w:pPr>
      <w:r>
        <w:drawing>
          <wp:inline distT="0" distB="0" distL="114300" distR="114300">
            <wp:extent cx="5690870" cy="2640965"/>
            <wp:effectExtent l="0" t="0" r="5080" b="6985"/>
            <wp:docPr id="3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2"/>
                    <pic:cNvPicPr>
                      <a:picLocks noChangeAspect="1"/>
                    </pic:cNvPicPr>
                  </pic:nvPicPr>
                  <pic:blipFill>
                    <a:blip r:embed="rId21"/>
                    <a:stretch>
                      <a:fillRect/>
                    </a:stretch>
                  </pic:blipFill>
                  <pic:spPr>
                    <a:xfrm>
                      <a:off x="0" y="0"/>
                      <a:ext cx="5690870" cy="2640965"/>
                    </a:xfrm>
                    <a:prstGeom prst="rect">
                      <a:avLst/>
                    </a:prstGeom>
                    <a:noFill/>
                    <a:ln>
                      <a:noFill/>
                    </a:ln>
                  </pic:spPr>
                </pic:pic>
              </a:graphicData>
            </a:graphic>
          </wp:inline>
        </w:drawing>
      </w:r>
    </w:p>
    <w:p>
      <w:pPr>
        <w:spacing w:before="156" w:after="156" w:line="360" w:lineRule="auto"/>
        <w:ind w:firstLine="480"/>
        <w:jc w:val="center"/>
        <w:rPr>
          <w:rFonts w:hAnsi="宋体" w:cs="宋体"/>
        </w:rPr>
      </w:pPr>
      <w:r>
        <w:rPr>
          <w:rFonts w:hint="eastAsia" w:cs="宋体"/>
        </w:rPr>
        <w:drawing>
          <wp:inline distT="0" distB="0" distL="0" distR="0">
            <wp:extent cx="3844290" cy="3418205"/>
            <wp:effectExtent l="0" t="0" r="3810" b="10795"/>
            <wp:docPr id="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8"/>
                    <pic:cNvPicPr>
                      <a:picLocks noChangeAspect="1" noChangeArrowheads="1"/>
                    </pic:cNvPicPr>
                  </pic:nvPicPr>
                  <pic:blipFill>
                    <a:blip r:embed="rId22"/>
                    <a:srcRect/>
                    <a:stretch>
                      <a:fillRect/>
                    </a:stretch>
                  </pic:blipFill>
                  <pic:spPr>
                    <a:xfrm>
                      <a:off x="0" y="0"/>
                      <a:ext cx="3844290" cy="3418205"/>
                    </a:xfrm>
                    <a:prstGeom prst="rect">
                      <a:avLst/>
                    </a:prstGeom>
                    <a:noFill/>
                    <a:ln w="9525">
                      <a:noFill/>
                      <a:miter lim="800000"/>
                      <a:headEnd/>
                      <a:tailEnd/>
                    </a:ln>
                  </pic:spPr>
                </pic:pic>
              </a:graphicData>
            </a:graphic>
          </wp:inline>
        </w:drawing>
      </w:r>
    </w:p>
    <w:p>
      <w:pPr>
        <w:spacing w:before="156" w:after="156" w:line="360" w:lineRule="auto"/>
        <w:ind w:firstLine="480"/>
        <w:rPr>
          <w:rFonts w:hAnsi="宋体" w:cs="宋体"/>
        </w:rPr>
      </w:pPr>
      <w:r>
        <w:rPr>
          <w:rFonts w:hint="eastAsia" w:hAnsi="宋体" w:cs="宋体"/>
        </w:rPr>
        <w:t>本项目汇水分区综合雨量径流系数可按下垫面种类加权平均计算：</w:t>
      </w:r>
    </w:p>
    <w:p>
      <w:pPr>
        <w:spacing w:before="156" w:after="156" w:line="360" w:lineRule="auto"/>
        <w:ind w:firstLine="480"/>
        <w:jc w:val="center"/>
        <w:rPr>
          <w:rFonts w:hAnsi="宋体"/>
        </w:rPr>
      </w:pPr>
      <w:r>
        <w:rPr>
          <w:rFonts w:hAnsi="宋体"/>
          <w:position w:val="-24"/>
        </w:rPr>
        <w:object>
          <v:shape id="_x0000_i1026" o:spt="75" type="#_x0000_t75" style="height:34.3pt;width:69.3pt;" o:ole="t" filled="f" o:preferrelative="t" stroked="f" coordsize="21600,21600">
            <v:path/>
            <v:fill on="f" focussize="0,0"/>
            <v:stroke on="f" joinstyle="miter"/>
            <v:imagedata r:id="rId24" o:title=""/>
            <o:lock v:ext="edit" aspectratio="t"/>
            <w10:wrap type="none"/>
            <w10:anchorlock/>
          </v:shape>
          <o:OLEObject Type="Embed" ProgID="Equation.3" ShapeID="_x0000_i1026" DrawAspect="Content" ObjectID="_1468075726" r:id="rId23">
            <o:LockedField>false</o:LockedField>
          </o:OLEObject>
        </w:object>
      </w:r>
    </w:p>
    <w:p>
      <w:pPr>
        <w:spacing w:before="156" w:after="156" w:line="360" w:lineRule="auto"/>
        <w:ind w:firstLine="480"/>
        <w:rPr>
          <w:rFonts w:hAnsi="宋体" w:cs="宋体"/>
        </w:rPr>
      </w:pPr>
      <w:r>
        <w:rPr>
          <w:rFonts w:hint="eastAsia" w:hAnsi="宋体" w:cs="宋体"/>
        </w:rPr>
        <w:t>式中：</w:t>
      </w:r>
      <w:r>
        <w:rPr>
          <w:rFonts w:hint="eastAsia" w:hAnsi="宋体"/>
        </w:rPr>
        <w:t>Ψ</w:t>
      </w:r>
      <w:r>
        <w:rPr>
          <w:rFonts w:hint="eastAsia" w:hAnsi="宋体"/>
          <w:vertAlign w:val="subscript"/>
        </w:rPr>
        <w:t>Z</w:t>
      </w:r>
      <w:r>
        <w:rPr>
          <w:rFonts w:hint="eastAsia" w:hAnsi="宋体" w:cs="宋体"/>
        </w:rPr>
        <w:t xml:space="preserve"> --综合径流系数；</w:t>
      </w:r>
    </w:p>
    <w:p>
      <w:pPr>
        <w:spacing w:before="156" w:after="156" w:line="360" w:lineRule="auto"/>
        <w:ind w:firstLine="1200" w:firstLineChars="500"/>
        <w:rPr>
          <w:rFonts w:hAnsi="宋体" w:cs="宋体"/>
        </w:rPr>
      </w:pPr>
      <w:r>
        <w:rPr>
          <w:rFonts w:hint="eastAsia" w:hAnsi="宋体" w:cs="宋体"/>
        </w:rPr>
        <w:t>F --汇水面积，㎡；</w:t>
      </w:r>
    </w:p>
    <w:p>
      <w:pPr>
        <w:spacing w:before="156" w:after="156" w:line="360" w:lineRule="auto"/>
        <w:ind w:firstLine="1200" w:firstLineChars="500"/>
        <w:rPr>
          <w:rFonts w:hAnsi="宋体" w:cs="宋体"/>
        </w:rPr>
      </w:pPr>
      <w:r>
        <w:rPr>
          <w:rFonts w:hint="eastAsia" w:hAnsi="宋体"/>
        </w:rPr>
        <w:t>F</w:t>
      </w:r>
      <w:r>
        <w:rPr>
          <w:rFonts w:hint="eastAsia" w:hAnsi="宋体"/>
          <w:vertAlign w:val="subscript"/>
        </w:rPr>
        <w:t>i</w:t>
      </w:r>
      <w:r>
        <w:rPr>
          <w:rFonts w:hint="eastAsia" w:hAnsi="宋体" w:cs="宋体"/>
        </w:rPr>
        <w:t xml:space="preserve"> --汇水面上各类下垫面面积，㎡；</w:t>
      </w:r>
    </w:p>
    <w:p>
      <w:pPr>
        <w:spacing w:before="156" w:after="156" w:line="360" w:lineRule="auto"/>
        <w:ind w:firstLine="1200" w:firstLineChars="500"/>
        <w:rPr>
          <w:rFonts w:hAnsi="宋体" w:cs="宋体"/>
        </w:rPr>
      </w:pPr>
      <w:r>
        <w:rPr>
          <w:rFonts w:hint="eastAsia" w:hAnsi="宋体"/>
        </w:rPr>
        <w:t>Ψ</w:t>
      </w:r>
      <w:r>
        <w:rPr>
          <w:rFonts w:hint="eastAsia" w:hAnsi="宋体"/>
          <w:vertAlign w:val="subscript"/>
        </w:rPr>
        <w:t>i</w:t>
      </w:r>
      <w:r>
        <w:rPr>
          <w:rFonts w:hint="eastAsia" w:hAnsi="宋体" w:cs="宋体"/>
        </w:rPr>
        <w:t>--各类下垫面的径流系数；</w:t>
      </w:r>
    </w:p>
    <w:p>
      <w:pPr>
        <w:spacing w:before="156" w:after="156" w:line="360" w:lineRule="auto"/>
        <w:ind w:firstLine="480"/>
        <w:rPr>
          <w:rFonts w:hAnsi="宋体" w:cs="宋体"/>
        </w:rPr>
      </w:pPr>
      <w:r>
        <w:rPr>
          <w:rFonts w:hint="eastAsia" w:hAnsi="宋体" w:cs="宋体"/>
        </w:rPr>
        <w:t>本项目设计调蓄容积具体计算过程如下表所示（按拟改造后设下垫面计算）</w:t>
      </w:r>
    </w:p>
    <w:p>
      <w:pPr>
        <w:spacing w:before="156" w:after="156" w:line="360" w:lineRule="auto"/>
        <w:ind w:firstLine="482"/>
        <w:jc w:val="center"/>
        <w:rPr>
          <w:rFonts w:hAnsi="宋体" w:cs="宋体"/>
          <w:b/>
          <w:bCs/>
        </w:rPr>
      </w:pPr>
      <w:r>
        <w:rPr>
          <w:rFonts w:hint="eastAsia" w:hAnsi="宋体" w:cs="宋体"/>
          <w:b/>
          <w:bCs/>
        </w:rPr>
        <w:t>表4-1  项目建成后总地块综合雨量径流系数</w:t>
      </w:r>
    </w:p>
    <w:tbl>
      <w:tblPr>
        <w:tblStyle w:val="44"/>
        <w:tblW w:w="8856" w:type="dxa"/>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2031"/>
        <w:gridCol w:w="1552"/>
        <w:gridCol w:w="1924"/>
        <w:gridCol w:w="3349"/>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2031" w:type="dxa"/>
            <w:vMerge w:val="restart"/>
            <w:tcBorders>
              <w:tl2br w:val="nil"/>
              <w:tr2bl w:val="nil"/>
            </w:tcBorders>
            <w:shd w:val="clear" w:color="auto" w:fill="auto"/>
            <w:tcMar>
              <w:top w:w="15" w:type="dxa"/>
              <w:left w:w="15" w:type="dxa"/>
              <w:right w:w="15" w:type="dxa"/>
            </w:tcMar>
            <w:vAlign w:val="center"/>
          </w:tcPr>
          <w:p>
            <w:pPr>
              <w:pStyle w:val="53"/>
              <w:spacing w:before="31" w:after="31"/>
            </w:pPr>
            <w:r>
              <w:rPr>
                <w:rFonts w:hint="eastAsia"/>
              </w:rPr>
              <w:t>下垫面类型</w:t>
            </w:r>
          </w:p>
        </w:tc>
        <w:tc>
          <w:tcPr>
            <w:tcW w:w="1552" w:type="dxa"/>
            <w:vMerge w:val="restart"/>
            <w:tcBorders>
              <w:tl2br w:val="nil"/>
              <w:tr2bl w:val="nil"/>
            </w:tcBorders>
            <w:shd w:val="clear" w:color="auto" w:fill="auto"/>
            <w:tcMar>
              <w:top w:w="15" w:type="dxa"/>
              <w:left w:w="15" w:type="dxa"/>
              <w:right w:w="15" w:type="dxa"/>
            </w:tcMar>
            <w:vAlign w:val="center"/>
          </w:tcPr>
          <w:p>
            <w:pPr>
              <w:pStyle w:val="53"/>
              <w:spacing w:before="31" w:after="31"/>
            </w:pPr>
            <w:r>
              <w:rPr>
                <w:rFonts w:hint="eastAsia"/>
              </w:rPr>
              <w:t>编号</w:t>
            </w:r>
          </w:p>
        </w:tc>
        <w:tc>
          <w:tcPr>
            <w:tcW w:w="1924" w:type="dxa"/>
            <w:tcBorders>
              <w:tl2br w:val="nil"/>
              <w:tr2bl w:val="nil"/>
            </w:tcBorders>
            <w:shd w:val="clear" w:color="auto" w:fill="auto"/>
            <w:tcMar>
              <w:top w:w="15" w:type="dxa"/>
              <w:left w:w="15" w:type="dxa"/>
              <w:right w:w="15" w:type="dxa"/>
            </w:tcMar>
            <w:vAlign w:val="center"/>
          </w:tcPr>
          <w:p>
            <w:pPr>
              <w:pStyle w:val="53"/>
              <w:spacing w:before="31" w:after="31"/>
            </w:pPr>
            <w:r>
              <w:rPr>
                <w:rFonts w:hint="eastAsia"/>
              </w:rPr>
              <w:t>面积（㎡）</w:t>
            </w:r>
          </w:p>
        </w:tc>
        <w:tc>
          <w:tcPr>
            <w:tcW w:w="3349" w:type="dxa"/>
            <w:tcBorders>
              <w:tl2br w:val="nil"/>
              <w:tr2bl w:val="nil"/>
            </w:tcBorders>
            <w:shd w:val="clear" w:color="auto" w:fill="auto"/>
            <w:tcMar>
              <w:top w:w="15" w:type="dxa"/>
              <w:left w:w="15" w:type="dxa"/>
              <w:right w:w="15" w:type="dxa"/>
            </w:tcMar>
            <w:vAlign w:val="center"/>
          </w:tcPr>
          <w:p>
            <w:pPr>
              <w:pStyle w:val="53"/>
              <w:spacing w:before="31" w:after="31"/>
            </w:pPr>
            <w:r>
              <w:rPr>
                <w:rFonts w:hint="eastAsia"/>
              </w:rPr>
              <w:t>综合雨量径流系数取值</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2031" w:type="dxa"/>
            <w:vMerge w:val="continue"/>
            <w:tcBorders>
              <w:tl2br w:val="nil"/>
              <w:tr2bl w:val="nil"/>
            </w:tcBorders>
            <w:shd w:val="clear" w:color="auto" w:fill="auto"/>
            <w:tcMar>
              <w:top w:w="15" w:type="dxa"/>
              <w:left w:w="15" w:type="dxa"/>
              <w:right w:w="15" w:type="dxa"/>
            </w:tcMar>
            <w:vAlign w:val="center"/>
          </w:tcPr>
          <w:p>
            <w:pPr>
              <w:pStyle w:val="53"/>
              <w:spacing w:before="31" w:after="31"/>
            </w:pPr>
          </w:p>
        </w:tc>
        <w:tc>
          <w:tcPr>
            <w:tcW w:w="1552" w:type="dxa"/>
            <w:vMerge w:val="continue"/>
            <w:tcBorders>
              <w:tl2br w:val="nil"/>
              <w:tr2bl w:val="nil"/>
            </w:tcBorders>
            <w:shd w:val="clear" w:color="auto" w:fill="auto"/>
            <w:tcMar>
              <w:top w:w="15" w:type="dxa"/>
              <w:left w:w="15" w:type="dxa"/>
              <w:right w:w="15" w:type="dxa"/>
            </w:tcMar>
            <w:vAlign w:val="center"/>
          </w:tcPr>
          <w:p>
            <w:pPr>
              <w:pStyle w:val="53"/>
              <w:spacing w:before="31" w:after="31"/>
            </w:pPr>
          </w:p>
        </w:tc>
        <w:tc>
          <w:tcPr>
            <w:tcW w:w="1924" w:type="dxa"/>
            <w:tcBorders>
              <w:tl2br w:val="nil"/>
              <w:tr2bl w:val="nil"/>
            </w:tcBorders>
            <w:shd w:val="clear" w:color="auto" w:fill="auto"/>
            <w:tcMar>
              <w:top w:w="15" w:type="dxa"/>
              <w:left w:w="15" w:type="dxa"/>
              <w:right w:w="15" w:type="dxa"/>
            </w:tcMar>
            <w:vAlign w:val="center"/>
          </w:tcPr>
          <w:p>
            <w:pPr>
              <w:pStyle w:val="53"/>
              <w:spacing w:before="31" w:after="31"/>
            </w:pPr>
            <w:r>
              <w:rPr>
                <w:rFonts w:hint="eastAsia"/>
              </w:rPr>
              <w:t>A</w:t>
            </w:r>
          </w:p>
        </w:tc>
        <w:tc>
          <w:tcPr>
            <w:tcW w:w="3349" w:type="dxa"/>
            <w:tcBorders>
              <w:tl2br w:val="nil"/>
              <w:tr2bl w:val="nil"/>
            </w:tcBorders>
            <w:shd w:val="clear" w:color="auto" w:fill="auto"/>
            <w:tcMar>
              <w:top w:w="15" w:type="dxa"/>
              <w:left w:w="15" w:type="dxa"/>
              <w:right w:w="15" w:type="dxa"/>
            </w:tcMar>
            <w:vAlign w:val="center"/>
          </w:tcPr>
          <w:p>
            <w:pPr>
              <w:pStyle w:val="53"/>
              <w:spacing w:before="31" w:after="31"/>
            </w:pPr>
            <w:r>
              <w:rPr>
                <w:rFonts w:hint="eastAsia"/>
              </w:rPr>
              <w:t>B</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99" w:hRule="exact"/>
        </w:trPr>
        <w:tc>
          <w:tcPr>
            <w:tcW w:w="2031"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rPr>
              <w:t>绿化屋面</w:t>
            </w:r>
          </w:p>
        </w:tc>
        <w:tc>
          <w:tcPr>
            <w:tcW w:w="1552"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rPr>
              <w:t>1</w:t>
            </w:r>
          </w:p>
        </w:tc>
        <w:tc>
          <w:tcPr>
            <w:tcW w:w="1924"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lang w:eastAsia="zh-CN"/>
              </w:rPr>
            </w:pPr>
            <w:r>
              <w:rPr>
                <w:rFonts w:hint="eastAsia" w:eastAsia="宋体"/>
                <w:lang w:val="en-US" w:eastAsia="zh-CN"/>
              </w:rPr>
              <w:t xml:space="preserve">0.00 </w:t>
            </w:r>
          </w:p>
        </w:tc>
        <w:tc>
          <w:tcPr>
            <w:tcW w:w="3349" w:type="dxa"/>
            <w:tcBorders>
              <w:tl2br w:val="nil"/>
              <w:tr2bl w:val="nil"/>
            </w:tcBorders>
            <w:shd w:val="clear" w:color="auto" w:fill="auto"/>
            <w:tcMar>
              <w:top w:w="15" w:type="dxa"/>
              <w:left w:w="15" w:type="dxa"/>
              <w:right w:w="15" w:type="dxa"/>
            </w:tcMar>
            <w:vAlign w:val="center"/>
          </w:tcPr>
          <w:p>
            <w:pPr>
              <w:pStyle w:val="53"/>
              <w:spacing w:before="31" w:after="31"/>
              <w:rPr>
                <w:rFonts w:hint="default" w:eastAsia="宋体"/>
                <w:lang w:val="en-US" w:eastAsia="zh-CN"/>
              </w:rPr>
            </w:pPr>
            <w:r>
              <w:rPr>
                <w:rFonts w:hint="eastAsia" w:eastAsia="宋体"/>
                <w:lang w:val="en-US" w:eastAsia="zh-CN"/>
              </w:rPr>
              <w:t>0.30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99" w:hRule="exact"/>
        </w:trPr>
        <w:tc>
          <w:tcPr>
            <w:tcW w:w="2031"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rPr>
              <w:t>硬质屋面</w:t>
            </w:r>
          </w:p>
        </w:tc>
        <w:tc>
          <w:tcPr>
            <w:tcW w:w="1552"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rPr>
              <w:t>2</w:t>
            </w:r>
          </w:p>
        </w:tc>
        <w:tc>
          <w:tcPr>
            <w:tcW w:w="1924"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lang w:val="en-US" w:eastAsia="zh-CN"/>
              </w:rPr>
            </w:pPr>
            <w:r>
              <w:rPr>
                <w:rFonts w:hint="eastAsia" w:eastAsia="宋体"/>
                <w:lang w:val="en-US" w:eastAsia="zh-CN"/>
              </w:rPr>
              <w:t>16946</w:t>
            </w:r>
          </w:p>
        </w:tc>
        <w:tc>
          <w:tcPr>
            <w:tcW w:w="3349"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lang w:val="en-US" w:eastAsia="zh-CN"/>
              </w:rPr>
            </w:pPr>
            <w:r>
              <w:rPr>
                <w:rFonts w:hint="eastAsia" w:eastAsia="宋体"/>
              </w:rPr>
              <w:t>0.8</w:t>
            </w:r>
            <w:r>
              <w:rPr>
                <w:rFonts w:hint="eastAsia" w:eastAsia="宋体"/>
                <w:lang w:val="en-US" w:eastAsia="zh-CN"/>
              </w:rPr>
              <w:t>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99" w:hRule="exact"/>
        </w:trPr>
        <w:tc>
          <w:tcPr>
            <w:tcW w:w="2031"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rPr>
              <w:t>室外绿地</w:t>
            </w:r>
          </w:p>
        </w:tc>
        <w:tc>
          <w:tcPr>
            <w:tcW w:w="1552"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rPr>
              <w:t>3</w:t>
            </w:r>
          </w:p>
        </w:tc>
        <w:tc>
          <w:tcPr>
            <w:tcW w:w="1924"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lang w:val="en-US" w:eastAsia="zh-CN"/>
              </w:rPr>
            </w:pPr>
            <w:r>
              <w:rPr>
                <w:rFonts w:hint="eastAsia" w:eastAsia="宋体"/>
                <w:lang w:val="en-US" w:eastAsia="zh-CN"/>
              </w:rPr>
              <w:t>41914</w:t>
            </w:r>
          </w:p>
        </w:tc>
        <w:tc>
          <w:tcPr>
            <w:tcW w:w="3349"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rPr>
              <w:t xml:space="preserve">0.15 </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99" w:hRule="exact"/>
        </w:trPr>
        <w:tc>
          <w:tcPr>
            <w:tcW w:w="2031"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rPr>
              <w:t>透水铺装</w:t>
            </w:r>
          </w:p>
        </w:tc>
        <w:tc>
          <w:tcPr>
            <w:tcW w:w="1552"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rPr>
              <w:t>4</w:t>
            </w:r>
          </w:p>
        </w:tc>
        <w:tc>
          <w:tcPr>
            <w:tcW w:w="1924"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lang w:val="en-US" w:eastAsia="zh-CN"/>
              </w:rPr>
              <w:t>10698</w:t>
            </w:r>
          </w:p>
        </w:tc>
        <w:tc>
          <w:tcPr>
            <w:tcW w:w="3349" w:type="dxa"/>
            <w:tcBorders>
              <w:tl2br w:val="nil"/>
              <w:tr2bl w:val="nil"/>
            </w:tcBorders>
            <w:shd w:val="clear" w:color="auto" w:fill="auto"/>
            <w:tcMar>
              <w:top w:w="15" w:type="dxa"/>
              <w:left w:w="15" w:type="dxa"/>
              <w:right w:w="15" w:type="dxa"/>
            </w:tcMar>
            <w:vAlign w:val="center"/>
          </w:tcPr>
          <w:p>
            <w:pPr>
              <w:pStyle w:val="53"/>
              <w:spacing w:before="31" w:after="31"/>
              <w:rPr>
                <w:rFonts w:hint="default" w:eastAsia="宋体"/>
                <w:lang w:val="en-US" w:eastAsia="zh-CN"/>
              </w:rPr>
            </w:pPr>
            <w:r>
              <w:rPr>
                <w:rFonts w:hint="eastAsia" w:eastAsia="宋体"/>
                <w:lang w:val="en-US" w:eastAsia="zh-CN"/>
              </w:rPr>
              <w:t>0.35</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99" w:hRule="exact"/>
        </w:trPr>
        <w:tc>
          <w:tcPr>
            <w:tcW w:w="2031"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rPr>
              <w:t>不透水铺装</w:t>
            </w:r>
          </w:p>
        </w:tc>
        <w:tc>
          <w:tcPr>
            <w:tcW w:w="1552"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rPr>
              <w:t>5</w:t>
            </w:r>
          </w:p>
        </w:tc>
        <w:tc>
          <w:tcPr>
            <w:tcW w:w="1924"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lang w:val="en-US" w:eastAsia="zh-CN"/>
              </w:rPr>
              <w:t>13369</w:t>
            </w:r>
          </w:p>
        </w:tc>
        <w:tc>
          <w:tcPr>
            <w:tcW w:w="3349" w:type="dxa"/>
            <w:tcBorders>
              <w:tl2br w:val="nil"/>
              <w:tr2bl w:val="nil"/>
            </w:tcBorders>
            <w:shd w:val="clear" w:color="auto" w:fill="auto"/>
            <w:tcMar>
              <w:top w:w="15" w:type="dxa"/>
              <w:left w:w="15" w:type="dxa"/>
              <w:right w:w="15" w:type="dxa"/>
            </w:tcMar>
            <w:vAlign w:val="center"/>
          </w:tcPr>
          <w:p>
            <w:pPr>
              <w:pStyle w:val="53"/>
              <w:spacing w:before="31" w:after="31"/>
              <w:rPr>
                <w:rFonts w:hint="default" w:eastAsia="宋体"/>
                <w:lang w:val="en-US" w:eastAsia="zh-CN"/>
              </w:rPr>
            </w:pPr>
            <w:r>
              <w:rPr>
                <w:rFonts w:hint="eastAsia" w:eastAsia="宋体"/>
                <w:lang w:val="en-US" w:eastAsia="zh-CN"/>
              </w:rPr>
              <w:t>0.80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99" w:hRule="exact"/>
        </w:trPr>
        <w:tc>
          <w:tcPr>
            <w:tcW w:w="2031"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rPr>
              <w:t>合计</w:t>
            </w:r>
          </w:p>
        </w:tc>
        <w:tc>
          <w:tcPr>
            <w:tcW w:w="1552"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rPr>
              <w:t>6</w:t>
            </w:r>
          </w:p>
        </w:tc>
        <w:tc>
          <w:tcPr>
            <w:tcW w:w="1924"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lang w:val="en-US" w:eastAsia="zh-CN"/>
              </w:rPr>
              <w:t>82927</w:t>
            </w:r>
          </w:p>
        </w:tc>
        <w:tc>
          <w:tcPr>
            <w:tcW w:w="3349" w:type="dxa"/>
            <w:tcBorders>
              <w:tl2br w:val="nil"/>
              <w:tr2bl w:val="nil"/>
            </w:tcBorders>
            <w:shd w:val="clear" w:color="auto" w:fill="auto"/>
            <w:tcMar>
              <w:top w:w="15" w:type="dxa"/>
              <w:left w:w="15" w:type="dxa"/>
              <w:right w:w="15" w:type="dxa"/>
            </w:tcMar>
            <w:vAlign w:val="center"/>
          </w:tcPr>
          <w:p>
            <w:pPr>
              <w:pStyle w:val="53"/>
              <w:spacing w:before="31" w:after="31"/>
              <w:rPr>
                <w:rFonts w:hint="default" w:eastAsia="宋体"/>
                <w:lang w:val="en-US" w:eastAsia="zh-CN"/>
              </w:rPr>
            </w:pPr>
            <w:r>
              <w:rPr>
                <w:rFonts w:hint="eastAsia" w:eastAsia="宋体"/>
                <w:lang w:val="en-US" w:eastAsia="zh-CN"/>
              </w:rPr>
              <w:t>0.413</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99" w:hRule="exact"/>
        </w:trPr>
        <w:tc>
          <w:tcPr>
            <w:tcW w:w="3583" w:type="dxa"/>
            <w:gridSpan w:val="2"/>
            <w:tcBorders>
              <w:tl2br w:val="nil"/>
              <w:tr2bl w:val="nil"/>
            </w:tcBorders>
            <w:shd w:val="clear" w:color="auto" w:fill="auto"/>
            <w:tcMar>
              <w:top w:w="15" w:type="dxa"/>
              <w:left w:w="15" w:type="dxa"/>
              <w:right w:w="15" w:type="dxa"/>
            </w:tcMar>
            <w:vAlign w:val="center"/>
          </w:tcPr>
          <w:p>
            <w:pPr>
              <w:pStyle w:val="53"/>
              <w:spacing w:beforeLines="0" w:afterLines="0"/>
            </w:pPr>
            <w:r>
              <w:rPr>
                <w:rFonts w:hint="eastAsia" w:ascii="宋体" w:hAnsi="宋体" w:cs="宋体"/>
              </w:rPr>
              <w:t>综合径流系数</w:t>
            </w:r>
          </w:p>
        </w:tc>
        <w:tc>
          <w:tcPr>
            <w:tcW w:w="5273" w:type="dxa"/>
            <w:gridSpan w:val="2"/>
            <w:tcBorders>
              <w:tl2br w:val="nil"/>
              <w:tr2bl w:val="nil"/>
            </w:tcBorders>
            <w:shd w:val="clear" w:color="auto" w:fill="auto"/>
            <w:tcMar>
              <w:top w:w="15" w:type="dxa"/>
              <w:left w:w="15" w:type="dxa"/>
              <w:right w:w="15" w:type="dxa"/>
            </w:tcMar>
            <w:vAlign w:val="center"/>
          </w:tcPr>
          <w:p>
            <w:pPr>
              <w:pStyle w:val="53"/>
              <w:spacing w:beforeLines="0" w:afterLines="0"/>
              <w:rPr>
                <w:rFonts w:hint="default" w:eastAsia="宋体"/>
                <w:lang w:val="en-US" w:eastAsia="zh-CN"/>
              </w:rPr>
            </w:pPr>
            <w:r>
              <w:rPr>
                <w:rFonts w:hint="eastAsia" w:ascii="宋体" w:hAnsi="宋体" w:cs="宋体"/>
              </w:rPr>
              <w:t>Ψ1Z =(A1*B1+A2*B2+A3*B3+A4*B4)/A5=0.</w:t>
            </w:r>
            <w:r>
              <w:rPr>
                <w:rFonts w:hint="eastAsia" w:ascii="宋体" w:hAnsi="宋体" w:cs="宋体"/>
                <w:lang w:val="en-US" w:eastAsia="zh-CN"/>
              </w:rPr>
              <w:t>413</w:t>
            </w:r>
          </w:p>
        </w:tc>
      </w:tr>
    </w:tbl>
    <w:p>
      <w:pPr>
        <w:spacing w:before="156" w:after="156" w:line="360" w:lineRule="auto"/>
        <w:ind w:firstLine="482"/>
        <w:jc w:val="center"/>
        <w:rPr>
          <w:rFonts w:hAnsi="宋体" w:cs="宋体"/>
          <w:b/>
          <w:bCs/>
        </w:rPr>
      </w:pPr>
      <w:r>
        <w:rPr>
          <w:rFonts w:hint="eastAsia" w:hAnsi="宋体" w:cs="宋体"/>
          <w:b/>
          <w:bCs/>
        </w:rPr>
        <w:t>表4-</w:t>
      </w:r>
      <w:r>
        <w:rPr>
          <w:rFonts w:hint="eastAsia" w:hAnsi="宋体" w:cs="宋体"/>
          <w:b/>
          <w:bCs/>
          <w:lang w:val="en-US" w:eastAsia="zh-CN"/>
        </w:rPr>
        <w:t>2</w:t>
      </w:r>
      <w:r>
        <w:rPr>
          <w:rFonts w:hint="eastAsia" w:hAnsi="宋体" w:cs="宋体"/>
          <w:b/>
          <w:bCs/>
        </w:rPr>
        <w:t xml:space="preserve">  项目建成后</w:t>
      </w:r>
      <w:r>
        <w:rPr>
          <w:rFonts w:hint="eastAsia" w:hAnsi="宋体" w:cs="宋体"/>
          <w:b/>
          <w:bCs/>
          <w:lang w:val="en-US" w:eastAsia="zh-CN"/>
        </w:rPr>
        <w:t>第一分区</w:t>
      </w:r>
      <w:r>
        <w:rPr>
          <w:rFonts w:hint="eastAsia" w:hAnsi="宋体" w:cs="宋体"/>
          <w:b/>
          <w:bCs/>
        </w:rPr>
        <w:t>综合雨量径流系数</w:t>
      </w:r>
    </w:p>
    <w:tbl>
      <w:tblPr>
        <w:tblStyle w:val="44"/>
        <w:tblW w:w="8856" w:type="dxa"/>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2031"/>
        <w:gridCol w:w="1552"/>
        <w:gridCol w:w="1924"/>
        <w:gridCol w:w="3349"/>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2031" w:type="dxa"/>
            <w:vMerge w:val="restart"/>
            <w:tcBorders>
              <w:tl2br w:val="nil"/>
              <w:tr2bl w:val="nil"/>
            </w:tcBorders>
            <w:shd w:val="clear" w:color="auto" w:fill="auto"/>
            <w:tcMar>
              <w:top w:w="15" w:type="dxa"/>
              <w:left w:w="15" w:type="dxa"/>
              <w:right w:w="15" w:type="dxa"/>
            </w:tcMar>
            <w:vAlign w:val="center"/>
          </w:tcPr>
          <w:p>
            <w:pPr>
              <w:pStyle w:val="53"/>
              <w:spacing w:before="31" w:after="31"/>
            </w:pPr>
            <w:r>
              <w:rPr>
                <w:rFonts w:hint="eastAsia"/>
              </w:rPr>
              <w:t>下垫面类型</w:t>
            </w:r>
          </w:p>
        </w:tc>
        <w:tc>
          <w:tcPr>
            <w:tcW w:w="1552" w:type="dxa"/>
            <w:vMerge w:val="restart"/>
            <w:tcBorders>
              <w:tl2br w:val="nil"/>
              <w:tr2bl w:val="nil"/>
            </w:tcBorders>
            <w:shd w:val="clear" w:color="auto" w:fill="auto"/>
            <w:tcMar>
              <w:top w:w="15" w:type="dxa"/>
              <w:left w:w="15" w:type="dxa"/>
              <w:right w:w="15" w:type="dxa"/>
            </w:tcMar>
            <w:vAlign w:val="center"/>
          </w:tcPr>
          <w:p>
            <w:pPr>
              <w:pStyle w:val="53"/>
              <w:spacing w:before="31" w:after="31"/>
            </w:pPr>
            <w:r>
              <w:rPr>
                <w:rFonts w:hint="eastAsia"/>
              </w:rPr>
              <w:t>编号</w:t>
            </w:r>
          </w:p>
        </w:tc>
        <w:tc>
          <w:tcPr>
            <w:tcW w:w="1924" w:type="dxa"/>
            <w:tcBorders>
              <w:tl2br w:val="nil"/>
              <w:tr2bl w:val="nil"/>
            </w:tcBorders>
            <w:shd w:val="clear" w:color="auto" w:fill="auto"/>
            <w:tcMar>
              <w:top w:w="15" w:type="dxa"/>
              <w:left w:w="15" w:type="dxa"/>
              <w:right w:w="15" w:type="dxa"/>
            </w:tcMar>
            <w:vAlign w:val="center"/>
          </w:tcPr>
          <w:p>
            <w:pPr>
              <w:pStyle w:val="53"/>
              <w:spacing w:before="31" w:after="31"/>
            </w:pPr>
            <w:r>
              <w:rPr>
                <w:rFonts w:hint="eastAsia"/>
              </w:rPr>
              <w:t>面积（㎡）</w:t>
            </w:r>
          </w:p>
        </w:tc>
        <w:tc>
          <w:tcPr>
            <w:tcW w:w="3349" w:type="dxa"/>
            <w:tcBorders>
              <w:tl2br w:val="nil"/>
              <w:tr2bl w:val="nil"/>
            </w:tcBorders>
            <w:shd w:val="clear" w:color="auto" w:fill="auto"/>
            <w:tcMar>
              <w:top w:w="15" w:type="dxa"/>
              <w:left w:w="15" w:type="dxa"/>
              <w:right w:w="15" w:type="dxa"/>
            </w:tcMar>
            <w:vAlign w:val="center"/>
          </w:tcPr>
          <w:p>
            <w:pPr>
              <w:pStyle w:val="53"/>
              <w:spacing w:before="31" w:after="31"/>
            </w:pPr>
            <w:r>
              <w:rPr>
                <w:rFonts w:hint="eastAsia"/>
              </w:rPr>
              <w:t>综合雨量径流系数取值</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2031" w:type="dxa"/>
            <w:vMerge w:val="continue"/>
            <w:tcBorders>
              <w:tl2br w:val="nil"/>
              <w:tr2bl w:val="nil"/>
            </w:tcBorders>
            <w:shd w:val="clear" w:color="auto" w:fill="auto"/>
            <w:tcMar>
              <w:top w:w="15" w:type="dxa"/>
              <w:left w:w="15" w:type="dxa"/>
              <w:right w:w="15" w:type="dxa"/>
            </w:tcMar>
            <w:vAlign w:val="center"/>
          </w:tcPr>
          <w:p>
            <w:pPr>
              <w:pStyle w:val="53"/>
              <w:spacing w:before="31" w:after="31"/>
            </w:pPr>
          </w:p>
        </w:tc>
        <w:tc>
          <w:tcPr>
            <w:tcW w:w="1552" w:type="dxa"/>
            <w:vMerge w:val="continue"/>
            <w:tcBorders>
              <w:tl2br w:val="nil"/>
              <w:tr2bl w:val="nil"/>
            </w:tcBorders>
            <w:shd w:val="clear" w:color="auto" w:fill="auto"/>
            <w:tcMar>
              <w:top w:w="15" w:type="dxa"/>
              <w:left w:w="15" w:type="dxa"/>
              <w:right w:w="15" w:type="dxa"/>
            </w:tcMar>
            <w:vAlign w:val="center"/>
          </w:tcPr>
          <w:p>
            <w:pPr>
              <w:pStyle w:val="53"/>
              <w:spacing w:before="31" w:after="31"/>
            </w:pPr>
          </w:p>
        </w:tc>
        <w:tc>
          <w:tcPr>
            <w:tcW w:w="1924" w:type="dxa"/>
            <w:tcBorders>
              <w:tl2br w:val="nil"/>
              <w:tr2bl w:val="nil"/>
            </w:tcBorders>
            <w:shd w:val="clear" w:color="auto" w:fill="auto"/>
            <w:tcMar>
              <w:top w:w="15" w:type="dxa"/>
              <w:left w:w="15" w:type="dxa"/>
              <w:right w:w="15" w:type="dxa"/>
            </w:tcMar>
            <w:vAlign w:val="center"/>
          </w:tcPr>
          <w:p>
            <w:pPr>
              <w:pStyle w:val="53"/>
              <w:spacing w:before="31" w:after="31"/>
            </w:pPr>
            <w:r>
              <w:rPr>
                <w:rFonts w:hint="eastAsia"/>
              </w:rPr>
              <w:t>A</w:t>
            </w:r>
          </w:p>
        </w:tc>
        <w:tc>
          <w:tcPr>
            <w:tcW w:w="3349" w:type="dxa"/>
            <w:tcBorders>
              <w:tl2br w:val="nil"/>
              <w:tr2bl w:val="nil"/>
            </w:tcBorders>
            <w:shd w:val="clear" w:color="auto" w:fill="auto"/>
            <w:tcMar>
              <w:top w:w="15" w:type="dxa"/>
              <w:left w:w="15" w:type="dxa"/>
              <w:right w:w="15" w:type="dxa"/>
            </w:tcMar>
            <w:vAlign w:val="center"/>
          </w:tcPr>
          <w:p>
            <w:pPr>
              <w:pStyle w:val="53"/>
              <w:spacing w:before="31" w:after="31"/>
            </w:pPr>
            <w:r>
              <w:rPr>
                <w:rFonts w:hint="eastAsia"/>
              </w:rPr>
              <w:t>B</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99" w:hRule="exact"/>
        </w:trPr>
        <w:tc>
          <w:tcPr>
            <w:tcW w:w="2031"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rPr>
              <w:t>绿化屋面</w:t>
            </w:r>
          </w:p>
        </w:tc>
        <w:tc>
          <w:tcPr>
            <w:tcW w:w="1552"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rPr>
              <w:t>1</w:t>
            </w:r>
          </w:p>
        </w:tc>
        <w:tc>
          <w:tcPr>
            <w:tcW w:w="1924"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lang w:eastAsia="zh-CN"/>
              </w:rPr>
            </w:pPr>
            <w:r>
              <w:rPr>
                <w:rFonts w:hint="eastAsia" w:eastAsia="宋体"/>
                <w:lang w:val="en-US" w:eastAsia="zh-CN"/>
              </w:rPr>
              <w:t xml:space="preserve">0.00 </w:t>
            </w:r>
          </w:p>
        </w:tc>
        <w:tc>
          <w:tcPr>
            <w:tcW w:w="3349" w:type="dxa"/>
            <w:tcBorders>
              <w:tl2br w:val="nil"/>
              <w:tr2bl w:val="nil"/>
            </w:tcBorders>
            <w:shd w:val="clear" w:color="auto" w:fill="auto"/>
            <w:tcMar>
              <w:top w:w="15" w:type="dxa"/>
              <w:left w:w="15" w:type="dxa"/>
              <w:right w:w="15" w:type="dxa"/>
            </w:tcMar>
            <w:vAlign w:val="center"/>
          </w:tcPr>
          <w:p>
            <w:pPr>
              <w:pStyle w:val="53"/>
              <w:spacing w:before="31" w:after="31"/>
              <w:rPr>
                <w:rFonts w:hint="default" w:eastAsia="宋体"/>
                <w:lang w:val="en-US" w:eastAsia="zh-CN"/>
              </w:rPr>
            </w:pPr>
            <w:r>
              <w:rPr>
                <w:rFonts w:hint="eastAsia" w:eastAsia="宋体"/>
                <w:lang w:val="en-US" w:eastAsia="zh-CN"/>
              </w:rPr>
              <w:t>0.30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99" w:hRule="exact"/>
        </w:trPr>
        <w:tc>
          <w:tcPr>
            <w:tcW w:w="2031"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rPr>
              <w:t>硬质屋面</w:t>
            </w:r>
          </w:p>
        </w:tc>
        <w:tc>
          <w:tcPr>
            <w:tcW w:w="1552"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rPr>
              <w:t>2</w:t>
            </w:r>
          </w:p>
        </w:tc>
        <w:tc>
          <w:tcPr>
            <w:tcW w:w="1924"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lang w:val="en-US" w:eastAsia="zh-CN"/>
              </w:rPr>
            </w:pPr>
            <w:r>
              <w:rPr>
                <w:rFonts w:hint="eastAsia" w:eastAsia="宋体"/>
                <w:lang w:val="en-US" w:eastAsia="zh-CN"/>
              </w:rPr>
              <w:t>8978</w:t>
            </w:r>
          </w:p>
        </w:tc>
        <w:tc>
          <w:tcPr>
            <w:tcW w:w="3349"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lang w:val="en-US" w:eastAsia="zh-CN"/>
              </w:rPr>
            </w:pPr>
            <w:r>
              <w:rPr>
                <w:rFonts w:hint="eastAsia" w:eastAsia="宋体"/>
              </w:rPr>
              <w:t>0.8</w:t>
            </w:r>
            <w:r>
              <w:rPr>
                <w:rFonts w:hint="eastAsia" w:eastAsia="宋体"/>
                <w:lang w:val="en-US" w:eastAsia="zh-CN"/>
              </w:rPr>
              <w:t>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99" w:hRule="exact"/>
        </w:trPr>
        <w:tc>
          <w:tcPr>
            <w:tcW w:w="2031"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rPr>
              <w:t>室外绿地</w:t>
            </w:r>
          </w:p>
        </w:tc>
        <w:tc>
          <w:tcPr>
            <w:tcW w:w="1552"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rPr>
              <w:t>3</w:t>
            </w:r>
          </w:p>
        </w:tc>
        <w:tc>
          <w:tcPr>
            <w:tcW w:w="1924"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lang w:val="en-US" w:eastAsia="zh-CN"/>
              </w:rPr>
            </w:pPr>
            <w:r>
              <w:rPr>
                <w:rFonts w:hint="eastAsia" w:eastAsia="宋体"/>
                <w:lang w:val="en-US" w:eastAsia="zh-CN"/>
              </w:rPr>
              <w:t>16694</w:t>
            </w:r>
          </w:p>
        </w:tc>
        <w:tc>
          <w:tcPr>
            <w:tcW w:w="3349"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rPr>
              <w:t xml:space="preserve">0.15 </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99" w:hRule="exact"/>
        </w:trPr>
        <w:tc>
          <w:tcPr>
            <w:tcW w:w="2031"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rPr>
              <w:t>透水铺装</w:t>
            </w:r>
          </w:p>
        </w:tc>
        <w:tc>
          <w:tcPr>
            <w:tcW w:w="1552"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rPr>
              <w:t>4</w:t>
            </w:r>
          </w:p>
        </w:tc>
        <w:tc>
          <w:tcPr>
            <w:tcW w:w="1924"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lang w:val="en-US" w:eastAsia="zh-CN"/>
              </w:rPr>
              <w:t>3895</w:t>
            </w:r>
          </w:p>
        </w:tc>
        <w:tc>
          <w:tcPr>
            <w:tcW w:w="3349" w:type="dxa"/>
            <w:tcBorders>
              <w:tl2br w:val="nil"/>
              <w:tr2bl w:val="nil"/>
            </w:tcBorders>
            <w:shd w:val="clear" w:color="auto" w:fill="auto"/>
            <w:tcMar>
              <w:top w:w="15" w:type="dxa"/>
              <w:left w:w="15" w:type="dxa"/>
              <w:right w:w="15" w:type="dxa"/>
            </w:tcMar>
            <w:vAlign w:val="center"/>
          </w:tcPr>
          <w:p>
            <w:pPr>
              <w:pStyle w:val="53"/>
              <w:spacing w:before="31" w:after="31"/>
              <w:rPr>
                <w:rFonts w:hint="default" w:eastAsia="宋体"/>
                <w:lang w:val="en-US" w:eastAsia="zh-CN"/>
              </w:rPr>
            </w:pPr>
            <w:r>
              <w:rPr>
                <w:rFonts w:hint="eastAsia" w:eastAsia="宋体"/>
                <w:lang w:val="en-US" w:eastAsia="zh-CN"/>
              </w:rPr>
              <w:t>0.35</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99" w:hRule="exact"/>
        </w:trPr>
        <w:tc>
          <w:tcPr>
            <w:tcW w:w="2031"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rPr>
              <w:t>不透水铺装</w:t>
            </w:r>
          </w:p>
        </w:tc>
        <w:tc>
          <w:tcPr>
            <w:tcW w:w="1552"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rPr>
              <w:t>5</w:t>
            </w:r>
          </w:p>
        </w:tc>
        <w:tc>
          <w:tcPr>
            <w:tcW w:w="1924"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lang w:val="en-US" w:eastAsia="zh-CN"/>
              </w:rPr>
              <w:t>2917</w:t>
            </w:r>
          </w:p>
        </w:tc>
        <w:tc>
          <w:tcPr>
            <w:tcW w:w="3349" w:type="dxa"/>
            <w:tcBorders>
              <w:tl2br w:val="nil"/>
              <w:tr2bl w:val="nil"/>
            </w:tcBorders>
            <w:shd w:val="clear" w:color="auto" w:fill="auto"/>
            <w:tcMar>
              <w:top w:w="15" w:type="dxa"/>
              <w:left w:w="15" w:type="dxa"/>
              <w:right w:w="15" w:type="dxa"/>
            </w:tcMar>
            <w:vAlign w:val="center"/>
          </w:tcPr>
          <w:p>
            <w:pPr>
              <w:pStyle w:val="53"/>
              <w:spacing w:before="31" w:after="31"/>
              <w:rPr>
                <w:rFonts w:hint="default" w:eastAsia="宋体"/>
                <w:lang w:val="en-US" w:eastAsia="zh-CN"/>
              </w:rPr>
            </w:pPr>
            <w:r>
              <w:rPr>
                <w:rFonts w:hint="eastAsia" w:eastAsia="宋体"/>
                <w:lang w:val="en-US" w:eastAsia="zh-CN"/>
              </w:rPr>
              <w:t>0.80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99" w:hRule="exact"/>
        </w:trPr>
        <w:tc>
          <w:tcPr>
            <w:tcW w:w="2031"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rPr>
              <w:t>合计</w:t>
            </w:r>
          </w:p>
        </w:tc>
        <w:tc>
          <w:tcPr>
            <w:tcW w:w="1552"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rPr>
              <w:t>6</w:t>
            </w:r>
          </w:p>
        </w:tc>
        <w:tc>
          <w:tcPr>
            <w:tcW w:w="1924"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lang w:val="en-US" w:eastAsia="zh-CN"/>
              </w:rPr>
              <w:t>32484</w:t>
            </w:r>
          </w:p>
        </w:tc>
        <w:tc>
          <w:tcPr>
            <w:tcW w:w="3349" w:type="dxa"/>
            <w:tcBorders>
              <w:tl2br w:val="nil"/>
              <w:tr2bl w:val="nil"/>
            </w:tcBorders>
            <w:shd w:val="clear" w:color="auto" w:fill="auto"/>
            <w:tcMar>
              <w:top w:w="15" w:type="dxa"/>
              <w:left w:w="15" w:type="dxa"/>
              <w:right w:w="15" w:type="dxa"/>
            </w:tcMar>
            <w:vAlign w:val="center"/>
          </w:tcPr>
          <w:p>
            <w:pPr>
              <w:pStyle w:val="53"/>
              <w:spacing w:before="31" w:after="31"/>
              <w:rPr>
                <w:rFonts w:hint="default" w:eastAsia="宋体"/>
                <w:lang w:val="en-US" w:eastAsia="zh-CN"/>
              </w:rPr>
            </w:pPr>
            <w:r>
              <w:rPr>
                <w:rFonts w:hint="eastAsia" w:eastAsia="宋体"/>
                <w:lang w:val="en-US" w:eastAsia="zh-CN"/>
              </w:rPr>
              <w:t>0.412</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99" w:hRule="exact"/>
        </w:trPr>
        <w:tc>
          <w:tcPr>
            <w:tcW w:w="3583" w:type="dxa"/>
            <w:gridSpan w:val="2"/>
            <w:tcBorders>
              <w:tl2br w:val="nil"/>
              <w:tr2bl w:val="nil"/>
            </w:tcBorders>
            <w:shd w:val="clear" w:color="auto" w:fill="auto"/>
            <w:tcMar>
              <w:top w:w="15" w:type="dxa"/>
              <w:left w:w="15" w:type="dxa"/>
              <w:right w:w="15" w:type="dxa"/>
            </w:tcMar>
            <w:vAlign w:val="center"/>
          </w:tcPr>
          <w:p>
            <w:pPr>
              <w:pStyle w:val="53"/>
              <w:spacing w:beforeLines="0" w:afterLines="0"/>
            </w:pPr>
            <w:r>
              <w:rPr>
                <w:rFonts w:hint="eastAsia" w:ascii="宋体" w:hAnsi="宋体" w:cs="宋体"/>
              </w:rPr>
              <w:t>综合径流系数</w:t>
            </w:r>
          </w:p>
        </w:tc>
        <w:tc>
          <w:tcPr>
            <w:tcW w:w="5273" w:type="dxa"/>
            <w:gridSpan w:val="2"/>
            <w:tcBorders>
              <w:tl2br w:val="nil"/>
              <w:tr2bl w:val="nil"/>
            </w:tcBorders>
            <w:shd w:val="clear" w:color="auto" w:fill="auto"/>
            <w:tcMar>
              <w:top w:w="15" w:type="dxa"/>
              <w:left w:w="15" w:type="dxa"/>
              <w:right w:w="15" w:type="dxa"/>
            </w:tcMar>
            <w:vAlign w:val="center"/>
          </w:tcPr>
          <w:p>
            <w:pPr>
              <w:pStyle w:val="53"/>
              <w:spacing w:beforeLines="0" w:afterLines="0"/>
              <w:rPr>
                <w:rFonts w:hint="default" w:eastAsia="宋体"/>
                <w:lang w:val="en-US" w:eastAsia="zh-CN"/>
              </w:rPr>
            </w:pPr>
            <w:r>
              <w:rPr>
                <w:rFonts w:hint="eastAsia" w:ascii="宋体" w:hAnsi="宋体" w:cs="宋体"/>
              </w:rPr>
              <w:t>Ψ1Z =(A1*B1+A2*B2+A3*B3+A4*B4)/A5=0.</w:t>
            </w:r>
            <w:r>
              <w:rPr>
                <w:rFonts w:hint="eastAsia" w:ascii="宋体" w:hAnsi="宋体" w:cs="宋体"/>
                <w:lang w:val="en-US" w:eastAsia="zh-CN"/>
              </w:rPr>
              <w:t>412</w:t>
            </w:r>
          </w:p>
        </w:tc>
      </w:tr>
    </w:tbl>
    <w:p>
      <w:pPr>
        <w:spacing w:before="156" w:after="156" w:line="360" w:lineRule="auto"/>
        <w:ind w:firstLine="482"/>
        <w:jc w:val="center"/>
        <w:rPr>
          <w:rFonts w:hint="eastAsia" w:hAnsi="宋体" w:cs="宋体"/>
          <w:b/>
          <w:bCs/>
        </w:rPr>
      </w:pPr>
    </w:p>
    <w:p>
      <w:pPr>
        <w:spacing w:before="156" w:after="156" w:line="360" w:lineRule="auto"/>
        <w:ind w:firstLine="482"/>
        <w:jc w:val="center"/>
        <w:rPr>
          <w:rFonts w:hint="eastAsia" w:hAnsi="宋体" w:cs="宋体"/>
          <w:b/>
          <w:bCs/>
        </w:rPr>
      </w:pPr>
    </w:p>
    <w:p>
      <w:pPr>
        <w:spacing w:before="156" w:after="156" w:line="360" w:lineRule="auto"/>
        <w:ind w:firstLine="482"/>
        <w:jc w:val="center"/>
        <w:rPr>
          <w:rFonts w:hAnsi="宋体" w:cs="宋体"/>
          <w:b/>
          <w:bCs/>
        </w:rPr>
      </w:pPr>
      <w:r>
        <w:rPr>
          <w:rFonts w:hint="eastAsia" w:hAnsi="宋体" w:cs="宋体"/>
          <w:b/>
          <w:bCs/>
        </w:rPr>
        <w:t>表4-</w:t>
      </w:r>
      <w:r>
        <w:rPr>
          <w:rFonts w:hint="eastAsia" w:hAnsi="宋体" w:cs="宋体"/>
          <w:b/>
          <w:bCs/>
          <w:lang w:val="en-US" w:eastAsia="zh-CN"/>
        </w:rPr>
        <w:t>3</w:t>
      </w:r>
      <w:r>
        <w:rPr>
          <w:rFonts w:hint="eastAsia" w:hAnsi="宋体" w:cs="宋体"/>
          <w:b/>
          <w:bCs/>
        </w:rPr>
        <w:t xml:space="preserve">  项目建成后</w:t>
      </w:r>
      <w:r>
        <w:rPr>
          <w:rFonts w:hint="eastAsia" w:hAnsi="宋体" w:cs="宋体"/>
          <w:b/>
          <w:bCs/>
          <w:lang w:val="en-US" w:eastAsia="zh-CN"/>
        </w:rPr>
        <w:t>第二分区</w:t>
      </w:r>
      <w:r>
        <w:rPr>
          <w:rFonts w:hint="eastAsia" w:hAnsi="宋体" w:cs="宋体"/>
          <w:b/>
          <w:bCs/>
        </w:rPr>
        <w:t>综合雨量径流系数</w:t>
      </w:r>
    </w:p>
    <w:tbl>
      <w:tblPr>
        <w:tblStyle w:val="44"/>
        <w:tblW w:w="8856" w:type="dxa"/>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2031"/>
        <w:gridCol w:w="1552"/>
        <w:gridCol w:w="1924"/>
        <w:gridCol w:w="3349"/>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2031" w:type="dxa"/>
            <w:vMerge w:val="restart"/>
            <w:tcBorders>
              <w:tl2br w:val="nil"/>
              <w:tr2bl w:val="nil"/>
            </w:tcBorders>
            <w:shd w:val="clear" w:color="auto" w:fill="auto"/>
            <w:tcMar>
              <w:top w:w="15" w:type="dxa"/>
              <w:left w:w="15" w:type="dxa"/>
              <w:right w:w="15" w:type="dxa"/>
            </w:tcMar>
            <w:vAlign w:val="center"/>
          </w:tcPr>
          <w:p>
            <w:pPr>
              <w:pStyle w:val="53"/>
              <w:spacing w:before="31" w:after="31"/>
            </w:pPr>
            <w:r>
              <w:rPr>
                <w:rFonts w:hint="eastAsia"/>
              </w:rPr>
              <w:t>下垫面类型</w:t>
            </w:r>
          </w:p>
        </w:tc>
        <w:tc>
          <w:tcPr>
            <w:tcW w:w="1552" w:type="dxa"/>
            <w:vMerge w:val="restart"/>
            <w:tcBorders>
              <w:tl2br w:val="nil"/>
              <w:tr2bl w:val="nil"/>
            </w:tcBorders>
            <w:shd w:val="clear" w:color="auto" w:fill="auto"/>
            <w:tcMar>
              <w:top w:w="15" w:type="dxa"/>
              <w:left w:w="15" w:type="dxa"/>
              <w:right w:w="15" w:type="dxa"/>
            </w:tcMar>
            <w:vAlign w:val="center"/>
          </w:tcPr>
          <w:p>
            <w:pPr>
              <w:pStyle w:val="53"/>
              <w:spacing w:before="31" w:after="31"/>
            </w:pPr>
            <w:r>
              <w:rPr>
                <w:rFonts w:hint="eastAsia"/>
              </w:rPr>
              <w:t>编号</w:t>
            </w:r>
          </w:p>
        </w:tc>
        <w:tc>
          <w:tcPr>
            <w:tcW w:w="1924" w:type="dxa"/>
            <w:tcBorders>
              <w:tl2br w:val="nil"/>
              <w:tr2bl w:val="nil"/>
            </w:tcBorders>
            <w:shd w:val="clear" w:color="auto" w:fill="auto"/>
            <w:tcMar>
              <w:top w:w="15" w:type="dxa"/>
              <w:left w:w="15" w:type="dxa"/>
              <w:right w:w="15" w:type="dxa"/>
            </w:tcMar>
            <w:vAlign w:val="center"/>
          </w:tcPr>
          <w:p>
            <w:pPr>
              <w:pStyle w:val="53"/>
              <w:spacing w:before="31" w:after="31"/>
            </w:pPr>
            <w:r>
              <w:rPr>
                <w:rFonts w:hint="eastAsia"/>
              </w:rPr>
              <w:t>面积（㎡）</w:t>
            </w:r>
          </w:p>
        </w:tc>
        <w:tc>
          <w:tcPr>
            <w:tcW w:w="3349" w:type="dxa"/>
            <w:tcBorders>
              <w:tl2br w:val="nil"/>
              <w:tr2bl w:val="nil"/>
            </w:tcBorders>
            <w:shd w:val="clear" w:color="auto" w:fill="auto"/>
            <w:tcMar>
              <w:top w:w="15" w:type="dxa"/>
              <w:left w:w="15" w:type="dxa"/>
              <w:right w:w="15" w:type="dxa"/>
            </w:tcMar>
            <w:vAlign w:val="center"/>
          </w:tcPr>
          <w:p>
            <w:pPr>
              <w:pStyle w:val="53"/>
              <w:spacing w:before="31" w:after="31"/>
            </w:pPr>
            <w:r>
              <w:rPr>
                <w:rFonts w:hint="eastAsia"/>
              </w:rPr>
              <w:t>综合雨量径流系数取值</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2031" w:type="dxa"/>
            <w:vMerge w:val="continue"/>
            <w:tcBorders>
              <w:tl2br w:val="nil"/>
              <w:tr2bl w:val="nil"/>
            </w:tcBorders>
            <w:shd w:val="clear" w:color="auto" w:fill="auto"/>
            <w:tcMar>
              <w:top w:w="15" w:type="dxa"/>
              <w:left w:w="15" w:type="dxa"/>
              <w:right w:w="15" w:type="dxa"/>
            </w:tcMar>
            <w:vAlign w:val="center"/>
          </w:tcPr>
          <w:p>
            <w:pPr>
              <w:pStyle w:val="53"/>
              <w:spacing w:before="31" w:after="31"/>
            </w:pPr>
          </w:p>
        </w:tc>
        <w:tc>
          <w:tcPr>
            <w:tcW w:w="1552" w:type="dxa"/>
            <w:vMerge w:val="continue"/>
            <w:tcBorders>
              <w:tl2br w:val="nil"/>
              <w:tr2bl w:val="nil"/>
            </w:tcBorders>
            <w:shd w:val="clear" w:color="auto" w:fill="auto"/>
            <w:tcMar>
              <w:top w:w="15" w:type="dxa"/>
              <w:left w:w="15" w:type="dxa"/>
              <w:right w:w="15" w:type="dxa"/>
            </w:tcMar>
            <w:vAlign w:val="center"/>
          </w:tcPr>
          <w:p>
            <w:pPr>
              <w:pStyle w:val="53"/>
              <w:spacing w:before="31" w:after="31"/>
            </w:pPr>
          </w:p>
        </w:tc>
        <w:tc>
          <w:tcPr>
            <w:tcW w:w="1924" w:type="dxa"/>
            <w:tcBorders>
              <w:tl2br w:val="nil"/>
              <w:tr2bl w:val="nil"/>
            </w:tcBorders>
            <w:shd w:val="clear" w:color="auto" w:fill="auto"/>
            <w:tcMar>
              <w:top w:w="15" w:type="dxa"/>
              <w:left w:w="15" w:type="dxa"/>
              <w:right w:w="15" w:type="dxa"/>
            </w:tcMar>
            <w:vAlign w:val="center"/>
          </w:tcPr>
          <w:p>
            <w:pPr>
              <w:pStyle w:val="53"/>
              <w:spacing w:before="31" w:after="31"/>
            </w:pPr>
            <w:r>
              <w:rPr>
                <w:rFonts w:hint="eastAsia"/>
              </w:rPr>
              <w:t>A</w:t>
            </w:r>
          </w:p>
        </w:tc>
        <w:tc>
          <w:tcPr>
            <w:tcW w:w="3349" w:type="dxa"/>
            <w:tcBorders>
              <w:tl2br w:val="nil"/>
              <w:tr2bl w:val="nil"/>
            </w:tcBorders>
            <w:shd w:val="clear" w:color="auto" w:fill="auto"/>
            <w:tcMar>
              <w:top w:w="15" w:type="dxa"/>
              <w:left w:w="15" w:type="dxa"/>
              <w:right w:w="15" w:type="dxa"/>
            </w:tcMar>
            <w:vAlign w:val="center"/>
          </w:tcPr>
          <w:p>
            <w:pPr>
              <w:pStyle w:val="53"/>
              <w:spacing w:before="31" w:after="31"/>
            </w:pPr>
            <w:r>
              <w:rPr>
                <w:rFonts w:hint="eastAsia"/>
              </w:rPr>
              <w:t>B</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99" w:hRule="exact"/>
        </w:trPr>
        <w:tc>
          <w:tcPr>
            <w:tcW w:w="2031"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rPr>
              <w:t>绿化屋面</w:t>
            </w:r>
          </w:p>
        </w:tc>
        <w:tc>
          <w:tcPr>
            <w:tcW w:w="1552"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rPr>
              <w:t>1</w:t>
            </w:r>
          </w:p>
        </w:tc>
        <w:tc>
          <w:tcPr>
            <w:tcW w:w="1924"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lang w:eastAsia="zh-CN"/>
              </w:rPr>
            </w:pPr>
            <w:r>
              <w:rPr>
                <w:rFonts w:hint="eastAsia" w:eastAsia="宋体"/>
                <w:lang w:val="en-US" w:eastAsia="zh-CN"/>
              </w:rPr>
              <w:t xml:space="preserve">0.00 </w:t>
            </w:r>
          </w:p>
        </w:tc>
        <w:tc>
          <w:tcPr>
            <w:tcW w:w="3349" w:type="dxa"/>
            <w:tcBorders>
              <w:tl2br w:val="nil"/>
              <w:tr2bl w:val="nil"/>
            </w:tcBorders>
            <w:shd w:val="clear" w:color="auto" w:fill="auto"/>
            <w:tcMar>
              <w:top w:w="15" w:type="dxa"/>
              <w:left w:w="15" w:type="dxa"/>
              <w:right w:w="15" w:type="dxa"/>
            </w:tcMar>
            <w:vAlign w:val="center"/>
          </w:tcPr>
          <w:p>
            <w:pPr>
              <w:pStyle w:val="53"/>
              <w:spacing w:before="31" w:after="31"/>
              <w:rPr>
                <w:rFonts w:hint="default" w:eastAsia="宋体"/>
                <w:lang w:val="en-US" w:eastAsia="zh-CN"/>
              </w:rPr>
            </w:pPr>
            <w:r>
              <w:rPr>
                <w:rFonts w:hint="eastAsia" w:eastAsia="宋体"/>
                <w:lang w:val="en-US" w:eastAsia="zh-CN"/>
              </w:rPr>
              <w:t>0.30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99" w:hRule="exact"/>
        </w:trPr>
        <w:tc>
          <w:tcPr>
            <w:tcW w:w="2031"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rPr>
              <w:t>硬质屋面</w:t>
            </w:r>
          </w:p>
        </w:tc>
        <w:tc>
          <w:tcPr>
            <w:tcW w:w="1552"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rPr>
              <w:t>2</w:t>
            </w:r>
          </w:p>
        </w:tc>
        <w:tc>
          <w:tcPr>
            <w:tcW w:w="1924"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lang w:val="en-US" w:eastAsia="zh-CN"/>
              </w:rPr>
            </w:pPr>
            <w:r>
              <w:rPr>
                <w:rFonts w:hint="eastAsia" w:eastAsia="宋体"/>
                <w:lang w:val="en-US" w:eastAsia="zh-CN"/>
              </w:rPr>
              <w:t>6212</w:t>
            </w:r>
          </w:p>
        </w:tc>
        <w:tc>
          <w:tcPr>
            <w:tcW w:w="3349"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lang w:val="en-US" w:eastAsia="zh-CN"/>
              </w:rPr>
            </w:pPr>
            <w:r>
              <w:rPr>
                <w:rFonts w:hint="eastAsia" w:eastAsia="宋体"/>
              </w:rPr>
              <w:t>0.8</w:t>
            </w:r>
            <w:r>
              <w:rPr>
                <w:rFonts w:hint="eastAsia" w:eastAsia="宋体"/>
                <w:lang w:val="en-US" w:eastAsia="zh-CN"/>
              </w:rPr>
              <w:t>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99" w:hRule="exact"/>
        </w:trPr>
        <w:tc>
          <w:tcPr>
            <w:tcW w:w="2031"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rPr>
              <w:t>室外绿地</w:t>
            </w:r>
          </w:p>
        </w:tc>
        <w:tc>
          <w:tcPr>
            <w:tcW w:w="1552"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rPr>
              <w:t>3</w:t>
            </w:r>
          </w:p>
        </w:tc>
        <w:tc>
          <w:tcPr>
            <w:tcW w:w="1924"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lang w:val="en-US" w:eastAsia="zh-CN"/>
              </w:rPr>
            </w:pPr>
            <w:r>
              <w:rPr>
                <w:rFonts w:hint="eastAsia" w:eastAsia="宋体"/>
                <w:lang w:val="en-US" w:eastAsia="zh-CN"/>
              </w:rPr>
              <w:t xml:space="preserve">19823.00 </w:t>
            </w:r>
          </w:p>
        </w:tc>
        <w:tc>
          <w:tcPr>
            <w:tcW w:w="3349"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rPr>
              <w:t xml:space="preserve">0.15 </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99" w:hRule="exact"/>
        </w:trPr>
        <w:tc>
          <w:tcPr>
            <w:tcW w:w="2031"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rPr>
              <w:t>透水铺装</w:t>
            </w:r>
          </w:p>
        </w:tc>
        <w:tc>
          <w:tcPr>
            <w:tcW w:w="1552"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rPr>
              <w:t>4</w:t>
            </w:r>
          </w:p>
        </w:tc>
        <w:tc>
          <w:tcPr>
            <w:tcW w:w="1924"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lang w:val="en-US" w:eastAsia="zh-CN"/>
              </w:rPr>
              <w:t xml:space="preserve">2369.00 </w:t>
            </w:r>
          </w:p>
        </w:tc>
        <w:tc>
          <w:tcPr>
            <w:tcW w:w="3349" w:type="dxa"/>
            <w:tcBorders>
              <w:tl2br w:val="nil"/>
              <w:tr2bl w:val="nil"/>
            </w:tcBorders>
            <w:shd w:val="clear" w:color="auto" w:fill="auto"/>
            <w:tcMar>
              <w:top w:w="15" w:type="dxa"/>
              <w:left w:w="15" w:type="dxa"/>
              <w:right w:w="15" w:type="dxa"/>
            </w:tcMar>
            <w:vAlign w:val="center"/>
          </w:tcPr>
          <w:p>
            <w:pPr>
              <w:pStyle w:val="53"/>
              <w:spacing w:before="31" w:after="31"/>
              <w:rPr>
                <w:rFonts w:hint="default" w:eastAsia="宋体"/>
                <w:lang w:val="en-US" w:eastAsia="zh-CN"/>
              </w:rPr>
            </w:pPr>
            <w:r>
              <w:rPr>
                <w:rFonts w:hint="eastAsia" w:eastAsia="宋体"/>
                <w:lang w:val="en-US" w:eastAsia="zh-CN"/>
              </w:rPr>
              <w:t>0.35</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99" w:hRule="exact"/>
        </w:trPr>
        <w:tc>
          <w:tcPr>
            <w:tcW w:w="2031"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rPr>
              <w:t>不透水铺装</w:t>
            </w:r>
          </w:p>
        </w:tc>
        <w:tc>
          <w:tcPr>
            <w:tcW w:w="1552"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rPr>
              <w:t>5</w:t>
            </w:r>
          </w:p>
        </w:tc>
        <w:tc>
          <w:tcPr>
            <w:tcW w:w="1924"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lang w:val="en-US" w:eastAsia="zh-CN"/>
              </w:rPr>
              <w:t xml:space="preserve">4491.00 </w:t>
            </w:r>
          </w:p>
        </w:tc>
        <w:tc>
          <w:tcPr>
            <w:tcW w:w="3349" w:type="dxa"/>
            <w:tcBorders>
              <w:tl2br w:val="nil"/>
              <w:tr2bl w:val="nil"/>
            </w:tcBorders>
            <w:shd w:val="clear" w:color="auto" w:fill="auto"/>
            <w:tcMar>
              <w:top w:w="15" w:type="dxa"/>
              <w:left w:w="15" w:type="dxa"/>
              <w:right w:w="15" w:type="dxa"/>
            </w:tcMar>
            <w:vAlign w:val="center"/>
          </w:tcPr>
          <w:p>
            <w:pPr>
              <w:pStyle w:val="53"/>
              <w:spacing w:before="31" w:after="31"/>
              <w:rPr>
                <w:rFonts w:hint="default" w:eastAsia="宋体"/>
                <w:lang w:val="en-US" w:eastAsia="zh-CN"/>
              </w:rPr>
            </w:pPr>
            <w:r>
              <w:rPr>
                <w:rFonts w:hint="eastAsia" w:eastAsia="宋体"/>
                <w:lang w:val="en-US" w:eastAsia="zh-CN"/>
              </w:rPr>
              <w:t>0.80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99" w:hRule="exact"/>
        </w:trPr>
        <w:tc>
          <w:tcPr>
            <w:tcW w:w="2031"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rPr>
              <w:t>合计</w:t>
            </w:r>
          </w:p>
        </w:tc>
        <w:tc>
          <w:tcPr>
            <w:tcW w:w="1552"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rPr>
              <w:t>6</w:t>
            </w:r>
          </w:p>
        </w:tc>
        <w:tc>
          <w:tcPr>
            <w:tcW w:w="1924"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lang w:val="en-US" w:eastAsia="zh-CN"/>
              </w:rPr>
              <w:t xml:space="preserve">32895.00 </w:t>
            </w:r>
          </w:p>
        </w:tc>
        <w:tc>
          <w:tcPr>
            <w:tcW w:w="3349" w:type="dxa"/>
            <w:tcBorders>
              <w:tl2br w:val="nil"/>
              <w:tr2bl w:val="nil"/>
            </w:tcBorders>
            <w:shd w:val="clear" w:color="auto" w:fill="auto"/>
            <w:tcMar>
              <w:top w:w="15" w:type="dxa"/>
              <w:left w:w="15" w:type="dxa"/>
              <w:right w:w="15" w:type="dxa"/>
            </w:tcMar>
            <w:vAlign w:val="center"/>
          </w:tcPr>
          <w:p>
            <w:pPr>
              <w:pStyle w:val="53"/>
              <w:spacing w:before="31" w:after="31"/>
              <w:rPr>
                <w:rFonts w:hint="default" w:eastAsia="宋体"/>
                <w:lang w:val="en-US" w:eastAsia="zh-CN"/>
              </w:rPr>
            </w:pPr>
            <w:r>
              <w:rPr>
                <w:rFonts w:hint="eastAsia" w:eastAsia="宋体"/>
                <w:lang w:val="en-US" w:eastAsia="zh-CN"/>
              </w:rPr>
              <w:t>0.376</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99" w:hRule="exact"/>
        </w:trPr>
        <w:tc>
          <w:tcPr>
            <w:tcW w:w="3583" w:type="dxa"/>
            <w:gridSpan w:val="2"/>
            <w:tcBorders>
              <w:tl2br w:val="nil"/>
              <w:tr2bl w:val="nil"/>
            </w:tcBorders>
            <w:shd w:val="clear" w:color="auto" w:fill="auto"/>
            <w:tcMar>
              <w:top w:w="15" w:type="dxa"/>
              <w:left w:w="15" w:type="dxa"/>
              <w:right w:w="15" w:type="dxa"/>
            </w:tcMar>
            <w:vAlign w:val="center"/>
          </w:tcPr>
          <w:p>
            <w:pPr>
              <w:pStyle w:val="53"/>
              <w:spacing w:beforeLines="0" w:afterLines="0"/>
            </w:pPr>
            <w:r>
              <w:rPr>
                <w:rFonts w:hint="eastAsia" w:ascii="宋体" w:hAnsi="宋体" w:cs="宋体"/>
              </w:rPr>
              <w:t>综合径流系数</w:t>
            </w:r>
          </w:p>
        </w:tc>
        <w:tc>
          <w:tcPr>
            <w:tcW w:w="5273" w:type="dxa"/>
            <w:gridSpan w:val="2"/>
            <w:tcBorders>
              <w:tl2br w:val="nil"/>
              <w:tr2bl w:val="nil"/>
            </w:tcBorders>
            <w:shd w:val="clear" w:color="auto" w:fill="auto"/>
            <w:tcMar>
              <w:top w:w="15" w:type="dxa"/>
              <w:left w:w="15" w:type="dxa"/>
              <w:right w:w="15" w:type="dxa"/>
            </w:tcMar>
            <w:vAlign w:val="center"/>
          </w:tcPr>
          <w:p>
            <w:pPr>
              <w:pStyle w:val="53"/>
              <w:spacing w:beforeLines="0" w:afterLines="0"/>
              <w:rPr>
                <w:rFonts w:hint="default" w:eastAsia="宋体"/>
                <w:lang w:val="en-US" w:eastAsia="zh-CN"/>
              </w:rPr>
            </w:pPr>
            <w:r>
              <w:rPr>
                <w:rFonts w:hint="eastAsia" w:ascii="宋体" w:hAnsi="宋体" w:cs="宋体"/>
              </w:rPr>
              <w:t>Ψ1Z =(A1*B1+A2*B2+A3*B3+A4*B4)/A5=0.</w:t>
            </w:r>
            <w:r>
              <w:rPr>
                <w:rFonts w:hint="eastAsia" w:ascii="宋体" w:hAnsi="宋体" w:cs="宋体"/>
                <w:lang w:val="en-US" w:eastAsia="zh-CN"/>
              </w:rPr>
              <w:t>376</w:t>
            </w:r>
          </w:p>
        </w:tc>
      </w:tr>
    </w:tbl>
    <w:p>
      <w:pPr>
        <w:spacing w:before="156" w:after="156" w:line="360" w:lineRule="auto"/>
        <w:ind w:firstLine="482"/>
        <w:jc w:val="center"/>
        <w:rPr>
          <w:rFonts w:hAnsi="宋体" w:cs="宋体"/>
          <w:b/>
          <w:bCs/>
        </w:rPr>
      </w:pPr>
      <w:r>
        <w:rPr>
          <w:rFonts w:hint="eastAsia" w:hAnsi="宋体" w:cs="宋体"/>
          <w:b/>
          <w:bCs/>
        </w:rPr>
        <w:t>表4-</w:t>
      </w:r>
      <w:r>
        <w:rPr>
          <w:rFonts w:hint="eastAsia" w:hAnsi="宋体" w:cs="宋体"/>
          <w:b/>
          <w:bCs/>
          <w:lang w:val="en-US" w:eastAsia="zh-CN"/>
        </w:rPr>
        <w:t>4</w:t>
      </w:r>
      <w:r>
        <w:rPr>
          <w:rFonts w:hint="eastAsia" w:hAnsi="宋体" w:cs="宋体"/>
          <w:b/>
          <w:bCs/>
        </w:rPr>
        <w:t xml:space="preserve">  项目建成后</w:t>
      </w:r>
      <w:r>
        <w:rPr>
          <w:rFonts w:hint="eastAsia" w:hAnsi="宋体" w:cs="宋体"/>
          <w:b/>
          <w:bCs/>
          <w:lang w:val="en-US" w:eastAsia="zh-CN"/>
        </w:rPr>
        <w:t>第三分区</w:t>
      </w:r>
      <w:r>
        <w:rPr>
          <w:rFonts w:hint="eastAsia" w:hAnsi="宋体" w:cs="宋体"/>
          <w:b/>
          <w:bCs/>
        </w:rPr>
        <w:t>综合雨量径流系数</w:t>
      </w:r>
    </w:p>
    <w:tbl>
      <w:tblPr>
        <w:tblStyle w:val="44"/>
        <w:tblW w:w="8856" w:type="dxa"/>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2031"/>
        <w:gridCol w:w="1552"/>
        <w:gridCol w:w="1924"/>
        <w:gridCol w:w="3349"/>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402" w:hRule="atLeast"/>
        </w:trPr>
        <w:tc>
          <w:tcPr>
            <w:tcW w:w="2031" w:type="dxa"/>
            <w:vMerge w:val="restart"/>
            <w:tcBorders>
              <w:tl2br w:val="nil"/>
              <w:tr2bl w:val="nil"/>
            </w:tcBorders>
            <w:shd w:val="clear" w:color="auto" w:fill="auto"/>
            <w:tcMar>
              <w:top w:w="15" w:type="dxa"/>
              <w:left w:w="15" w:type="dxa"/>
              <w:right w:w="15" w:type="dxa"/>
            </w:tcMar>
            <w:vAlign w:val="center"/>
          </w:tcPr>
          <w:p>
            <w:pPr>
              <w:pStyle w:val="53"/>
              <w:spacing w:before="31" w:after="31"/>
            </w:pPr>
            <w:r>
              <w:rPr>
                <w:rFonts w:hint="eastAsia"/>
              </w:rPr>
              <w:t>下垫面类型</w:t>
            </w:r>
          </w:p>
        </w:tc>
        <w:tc>
          <w:tcPr>
            <w:tcW w:w="1552" w:type="dxa"/>
            <w:vMerge w:val="restart"/>
            <w:tcBorders>
              <w:tl2br w:val="nil"/>
              <w:tr2bl w:val="nil"/>
            </w:tcBorders>
            <w:shd w:val="clear" w:color="auto" w:fill="auto"/>
            <w:tcMar>
              <w:top w:w="15" w:type="dxa"/>
              <w:left w:w="15" w:type="dxa"/>
              <w:right w:w="15" w:type="dxa"/>
            </w:tcMar>
            <w:vAlign w:val="center"/>
          </w:tcPr>
          <w:p>
            <w:pPr>
              <w:pStyle w:val="53"/>
              <w:spacing w:before="31" w:after="31"/>
            </w:pPr>
            <w:r>
              <w:rPr>
                <w:rFonts w:hint="eastAsia"/>
              </w:rPr>
              <w:t>编号</w:t>
            </w:r>
          </w:p>
        </w:tc>
        <w:tc>
          <w:tcPr>
            <w:tcW w:w="1924" w:type="dxa"/>
            <w:tcBorders>
              <w:tl2br w:val="nil"/>
              <w:tr2bl w:val="nil"/>
            </w:tcBorders>
            <w:shd w:val="clear" w:color="auto" w:fill="auto"/>
            <w:tcMar>
              <w:top w:w="15" w:type="dxa"/>
              <w:left w:w="15" w:type="dxa"/>
              <w:right w:w="15" w:type="dxa"/>
            </w:tcMar>
            <w:vAlign w:val="center"/>
          </w:tcPr>
          <w:p>
            <w:pPr>
              <w:pStyle w:val="53"/>
              <w:spacing w:before="31" w:after="31"/>
            </w:pPr>
            <w:r>
              <w:rPr>
                <w:rFonts w:hint="eastAsia"/>
              </w:rPr>
              <w:t>面积（㎡）</w:t>
            </w:r>
          </w:p>
        </w:tc>
        <w:tc>
          <w:tcPr>
            <w:tcW w:w="3349" w:type="dxa"/>
            <w:tcBorders>
              <w:tl2br w:val="nil"/>
              <w:tr2bl w:val="nil"/>
            </w:tcBorders>
            <w:shd w:val="clear" w:color="auto" w:fill="auto"/>
            <w:tcMar>
              <w:top w:w="15" w:type="dxa"/>
              <w:left w:w="15" w:type="dxa"/>
              <w:right w:w="15" w:type="dxa"/>
            </w:tcMar>
            <w:vAlign w:val="center"/>
          </w:tcPr>
          <w:p>
            <w:pPr>
              <w:pStyle w:val="53"/>
              <w:spacing w:before="31" w:after="31"/>
            </w:pPr>
            <w:r>
              <w:rPr>
                <w:rFonts w:hint="eastAsia"/>
              </w:rPr>
              <w:t>综合雨量径流系数取值</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2031" w:type="dxa"/>
            <w:vMerge w:val="continue"/>
            <w:tcBorders>
              <w:tl2br w:val="nil"/>
              <w:tr2bl w:val="nil"/>
            </w:tcBorders>
            <w:shd w:val="clear" w:color="auto" w:fill="auto"/>
            <w:tcMar>
              <w:top w:w="15" w:type="dxa"/>
              <w:left w:w="15" w:type="dxa"/>
              <w:right w:w="15" w:type="dxa"/>
            </w:tcMar>
            <w:vAlign w:val="center"/>
          </w:tcPr>
          <w:p>
            <w:pPr>
              <w:pStyle w:val="53"/>
              <w:spacing w:before="31" w:after="31"/>
            </w:pPr>
          </w:p>
        </w:tc>
        <w:tc>
          <w:tcPr>
            <w:tcW w:w="1552" w:type="dxa"/>
            <w:vMerge w:val="continue"/>
            <w:tcBorders>
              <w:tl2br w:val="nil"/>
              <w:tr2bl w:val="nil"/>
            </w:tcBorders>
            <w:shd w:val="clear" w:color="auto" w:fill="auto"/>
            <w:tcMar>
              <w:top w:w="15" w:type="dxa"/>
              <w:left w:w="15" w:type="dxa"/>
              <w:right w:w="15" w:type="dxa"/>
            </w:tcMar>
            <w:vAlign w:val="center"/>
          </w:tcPr>
          <w:p>
            <w:pPr>
              <w:pStyle w:val="53"/>
              <w:spacing w:before="31" w:after="31"/>
            </w:pPr>
          </w:p>
        </w:tc>
        <w:tc>
          <w:tcPr>
            <w:tcW w:w="1924" w:type="dxa"/>
            <w:tcBorders>
              <w:tl2br w:val="nil"/>
              <w:tr2bl w:val="nil"/>
            </w:tcBorders>
            <w:shd w:val="clear" w:color="auto" w:fill="auto"/>
            <w:tcMar>
              <w:top w:w="15" w:type="dxa"/>
              <w:left w:w="15" w:type="dxa"/>
              <w:right w:w="15" w:type="dxa"/>
            </w:tcMar>
            <w:vAlign w:val="center"/>
          </w:tcPr>
          <w:p>
            <w:pPr>
              <w:pStyle w:val="53"/>
              <w:spacing w:before="31" w:after="31"/>
            </w:pPr>
            <w:r>
              <w:rPr>
                <w:rFonts w:hint="eastAsia"/>
              </w:rPr>
              <w:t>A</w:t>
            </w:r>
          </w:p>
        </w:tc>
        <w:tc>
          <w:tcPr>
            <w:tcW w:w="3349" w:type="dxa"/>
            <w:tcBorders>
              <w:tl2br w:val="nil"/>
              <w:tr2bl w:val="nil"/>
            </w:tcBorders>
            <w:shd w:val="clear" w:color="auto" w:fill="auto"/>
            <w:tcMar>
              <w:top w:w="15" w:type="dxa"/>
              <w:left w:w="15" w:type="dxa"/>
              <w:right w:w="15" w:type="dxa"/>
            </w:tcMar>
            <w:vAlign w:val="center"/>
          </w:tcPr>
          <w:p>
            <w:pPr>
              <w:pStyle w:val="53"/>
              <w:spacing w:before="31" w:after="31"/>
            </w:pPr>
            <w:r>
              <w:rPr>
                <w:rFonts w:hint="eastAsia"/>
              </w:rPr>
              <w:t>B</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99" w:hRule="exact"/>
        </w:trPr>
        <w:tc>
          <w:tcPr>
            <w:tcW w:w="2031"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rPr>
              <w:t>绿化屋面</w:t>
            </w:r>
          </w:p>
        </w:tc>
        <w:tc>
          <w:tcPr>
            <w:tcW w:w="1552"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rPr>
              <w:t>1</w:t>
            </w:r>
          </w:p>
        </w:tc>
        <w:tc>
          <w:tcPr>
            <w:tcW w:w="1924"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lang w:eastAsia="zh-CN"/>
              </w:rPr>
            </w:pPr>
            <w:r>
              <w:rPr>
                <w:rFonts w:hint="eastAsia" w:eastAsia="宋体"/>
                <w:lang w:val="en-US" w:eastAsia="zh-CN"/>
              </w:rPr>
              <w:t xml:space="preserve">0.00 </w:t>
            </w:r>
          </w:p>
        </w:tc>
        <w:tc>
          <w:tcPr>
            <w:tcW w:w="3349" w:type="dxa"/>
            <w:tcBorders>
              <w:tl2br w:val="nil"/>
              <w:tr2bl w:val="nil"/>
            </w:tcBorders>
            <w:shd w:val="clear" w:color="auto" w:fill="auto"/>
            <w:tcMar>
              <w:top w:w="15" w:type="dxa"/>
              <w:left w:w="15" w:type="dxa"/>
              <w:right w:w="15" w:type="dxa"/>
            </w:tcMar>
            <w:vAlign w:val="center"/>
          </w:tcPr>
          <w:p>
            <w:pPr>
              <w:pStyle w:val="53"/>
              <w:spacing w:before="31" w:after="31"/>
              <w:rPr>
                <w:rFonts w:hint="default" w:eastAsia="宋体"/>
                <w:lang w:val="en-US" w:eastAsia="zh-CN"/>
              </w:rPr>
            </w:pPr>
            <w:r>
              <w:rPr>
                <w:rFonts w:hint="eastAsia" w:eastAsia="宋体"/>
                <w:lang w:val="en-US" w:eastAsia="zh-CN"/>
              </w:rPr>
              <w:t>0.30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99" w:hRule="exact"/>
        </w:trPr>
        <w:tc>
          <w:tcPr>
            <w:tcW w:w="2031"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rPr>
              <w:t>硬质屋面</w:t>
            </w:r>
          </w:p>
        </w:tc>
        <w:tc>
          <w:tcPr>
            <w:tcW w:w="1552"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rPr>
              <w:t>2</w:t>
            </w:r>
          </w:p>
        </w:tc>
        <w:tc>
          <w:tcPr>
            <w:tcW w:w="1924"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lang w:val="en-US" w:eastAsia="zh-CN"/>
              </w:rPr>
            </w:pPr>
            <w:r>
              <w:rPr>
                <w:rFonts w:hint="eastAsia" w:eastAsia="宋体"/>
                <w:lang w:val="en-US" w:eastAsia="zh-CN"/>
              </w:rPr>
              <w:t>1756</w:t>
            </w:r>
          </w:p>
        </w:tc>
        <w:tc>
          <w:tcPr>
            <w:tcW w:w="3349"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lang w:val="en-US" w:eastAsia="zh-CN"/>
              </w:rPr>
            </w:pPr>
            <w:r>
              <w:rPr>
                <w:rFonts w:hint="eastAsia" w:eastAsia="宋体"/>
              </w:rPr>
              <w:t>0.8</w:t>
            </w:r>
            <w:r>
              <w:rPr>
                <w:rFonts w:hint="eastAsia" w:eastAsia="宋体"/>
                <w:lang w:val="en-US" w:eastAsia="zh-CN"/>
              </w:rPr>
              <w:t>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99" w:hRule="exact"/>
        </w:trPr>
        <w:tc>
          <w:tcPr>
            <w:tcW w:w="2031"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rPr>
              <w:t>室外绿地</w:t>
            </w:r>
          </w:p>
        </w:tc>
        <w:tc>
          <w:tcPr>
            <w:tcW w:w="1552"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rPr>
              <w:t>3</w:t>
            </w:r>
          </w:p>
        </w:tc>
        <w:tc>
          <w:tcPr>
            <w:tcW w:w="1924"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lang w:val="en-US" w:eastAsia="zh-CN"/>
              </w:rPr>
            </w:pPr>
            <w:r>
              <w:rPr>
                <w:rFonts w:hint="eastAsia" w:eastAsia="宋体"/>
                <w:lang w:val="en-US" w:eastAsia="zh-CN"/>
              </w:rPr>
              <w:t xml:space="preserve">5397.00 </w:t>
            </w:r>
          </w:p>
        </w:tc>
        <w:tc>
          <w:tcPr>
            <w:tcW w:w="3349"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rPr>
              <w:t xml:space="preserve">0.15 </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99" w:hRule="exact"/>
        </w:trPr>
        <w:tc>
          <w:tcPr>
            <w:tcW w:w="2031"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rPr>
              <w:t>透水铺装</w:t>
            </w:r>
          </w:p>
        </w:tc>
        <w:tc>
          <w:tcPr>
            <w:tcW w:w="1552"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rPr>
              <w:t>4</w:t>
            </w:r>
          </w:p>
        </w:tc>
        <w:tc>
          <w:tcPr>
            <w:tcW w:w="1924"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lang w:val="en-US" w:eastAsia="zh-CN"/>
              </w:rPr>
              <w:t xml:space="preserve">4434.00 </w:t>
            </w:r>
          </w:p>
        </w:tc>
        <w:tc>
          <w:tcPr>
            <w:tcW w:w="3349" w:type="dxa"/>
            <w:tcBorders>
              <w:tl2br w:val="nil"/>
              <w:tr2bl w:val="nil"/>
            </w:tcBorders>
            <w:shd w:val="clear" w:color="auto" w:fill="auto"/>
            <w:tcMar>
              <w:top w:w="15" w:type="dxa"/>
              <w:left w:w="15" w:type="dxa"/>
              <w:right w:w="15" w:type="dxa"/>
            </w:tcMar>
            <w:vAlign w:val="center"/>
          </w:tcPr>
          <w:p>
            <w:pPr>
              <w:pStyle w:val="53"/>
              <w:spacing w:before="31" w:after="31"/>
              <w:rPr>
                <w:rFonts w:hint="default" w:eastAsia="宋体"/>
                <w:lang w:val="en-US" w:eastAsia="zh-CN"/>
              </w:rPr>
            </w:pPr>
            <w:r>
              <w:rPr>
                <w:rFonts w:hint="eastAsia" w:eastAsia="宋体"/>
                <w:lang w:val="en-US" w:eastAsia="zh-CN"/>
              </w:rPr>
              <w:t>0.35</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99" w:hRule="exact"/>
        </w:trPr>
        <w:tc>
          <w:tcPr>
            <w:tcW w:w="2031"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rPr>
              <w:t>不透水铺装</w:t>
            </w:r>
          </w:p>
        </w:tc>
        <w:tc>
          <w:tcPr>
            <w:tcW w:w="1552"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rPr>
              <w:t>5</w:t>
            </w:r>
          </w:p>
        </w:tc>
        <w:tc>
          <w:tcPr>
            <w:tcW w:w="1924"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lang w:val="en-US" w:eastAsia="zh-CN"/>
              </w:rPr>
              <w:t xml:space="preserve">5961.00 </w:t>
            </w:r>
          </w:p>
        </w:tc>
        <w:tc>
          <w:tcPr>
            <w:tcW w:w="3349" w:type="dxa"/>
            <w:tcBorders>
              <w:tl2br w:val="nil"/>
              <w:tr2bl w:val="nil"/>
            </w:tcBorders>
            <w:shd w:val="clear" w:color="auto" w:fill="auto"/>
            <w:tcMar>
              <w:top w:w="15" w:type="dxa"/>
              <w:left w:w="15" w:type="dxa"/>
              <w:right w:w="15" w:type="dxa"/>
            </w:tcMar>
            <w:vAlign w:val="center"/>
          </w:tcPr>
          <w:p>
            <w:pPr>
              <w:pStyle w:val="53"/>
              <w:spacing w:before="31" w:after="31"/>
              <w:rPr>
                <w:rFonts w:hint="default" w:eastAsia="宋体"/>
                <w:lang w:val="en-US" w:eastAsia="zh-CN"/>
              </w:rPr>
            </w:pPr>
            <w:r>
              <w:rPr>
                <w:rFonts w:hint="eastAsia" w:eastAsia="宋体"/>
                <w:lang w:val="en-US" w:eastAsia="zh-CN"/>
              </w:rPr>
              <w:t>0.80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99" w:hRule="exact"/>
        </w:trPr>
        <w:tc>
          <w:tcPr>
            <w:tcW w:w="2031"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rPr>
              <w:t>合计</w:t>
            </w:r>
          </w:p>
        </w:tc>
        <w:tc>
          <w:tcPr>
            <w:tcW w:w="1552"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rPr>
              <w:t>6</w:t>
            </w:r>
          </w:p>
        </w:tc>
        <w:tc>
          <w:tcPr>
            <w:tcW w:w="1924" w:type="dxa"/>
            <w:tcBorders>
              <w:tl2br w:val="nil"/>
              <w:tr2bl w:val="nil"/>
            </w:tcBorders>
            <w:shd w:val="clear" w:color="auto" w:fill="auto"/>
            <w:tcMar>
              <w:top w:w="15" w:type="dxa"/>
              <w:left w:w="15" w:type="dxa"/>
              <w:right w:w="15" w:type="dxa"/>
            </w:tcMar>
            <w:vAlign w:val="center"/>
          </w:tcPr>
          <w:p>
            <w:pPr>
              <w:pStyle w:val="53"/>
              <w:spacing w:before="31" w:after="31"/>
              <w:rPr>
                <w:rFonts w:hint="eastAsia" w:eastAsia="宋体"/>
              </w:rPr>
            </w:pPr>
            <w:r>
              <w:rPr>
                <w:rFonts w:hint="eastAsia" w:eastAsia="宋体"/>
                <w:lang w:val="en-US" w:eastAsia="zh-CN"/>
              </w:rPr>
              <w:t xml:space="preserve">17548.00 </w:t>
            </w:r>
          </w:p>
        </w:tc>
        <w:tc>
          <w:tcPr>
            <w:tcW w:w="3349" w:type="dxa"/>
            <w:tcBorders>
              <w:tl2br w:val="nil"/>
              <w:tr2bl w:val="nil"/>
            </w:tcBorders>
            <w:shd w:val="clear" w:color="auto" w:fill="auto"/>
            <w:tcMar>
              <w:top w:w="15" w:type="dxa"/>
              <w:left w:w="15" w:type="dxa"/>
              <w:right w:w="15" w:type="dxa"/>
            </w:tcMar>
            <w:vAlign w:val="center"/>
          </w:tcPr>
          <w:p>
            <w:pPr>
              <w:pStyle w:val="53"/>
              <w:spacing w:before="31" w:after="31"/>
              <w:rPr>
                <w:rFonts w:hint="default" w:eastAsia="宋体"/>
                <w:lang w:val="en-US" w:eastAsia="zh-CN"/>
              </w:rPr>
            </w:pPr>
            <w:r>
              <w:rPr>
                <w:rFonts w:hint="eastAsia" w:eastAsia="宋体"/>
                <w:lang w:val="en-US" w:eastAsia="zh-CN"/>
              </w:rPr>
              <w:t xml:space="preserve">0.486 </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99" w:hRule="exact"/>
        </w:trPr>
        <w:tc>
          <w:tcPr>
            <w:tcW w:w="3583" w:type="dxa"/>
            <w:gridSpan w:val="2"/>
            <w:tcBorders>
              <w:tl2br w:val="nil"/>
              <w:tr2bl w:val="nil"/>
            </w:tcBorders>
            <w:shd w:val="clear" w:color="auto" w:fill="auto"/>
            <w:tcMar>
              <w:top w:w="15" w:type="dxa"/>
              <w:left w:w="15" w:type="dxa"/>
              <w:right w:w="15" w:type="dxa"/>
            </w:tcMar>
            <w:vAlign w:val="center"/>
          </w:tcPr>
          <w:p>
            <w:pPr>
              <w:pStyle w:val="53"/>
              <w:spacing w:beforeLines="0" w:afterLines="0"/>
            </w:pPr>
            <w:r>
              <w:rPr>
                <w:rFonts w:hint="eastAsia" w:ascii="宋体" w:hAnsi="宋体" w:cs="宋体"/>
              </w:rPr>
              <w:t>综合径流系数</w:t>
            </w:r>
          </w:p>
        </w:tc>
        <w:tc>
          <w:tcPr>
            <w:tcW w:w="5273" w:type="dxa"/>
            <w:gridSpan w:val="2"/>
            <w:tcBorders>
              <w:tl2br w:val="nil"/>
              <w:tr2bl w:val="nil"/>
            </w:tcBorders>
            <w:shd w:val="clear" w:color="auto" w:fill="auto"/>
            <w:tcMar>
              <w:top w:w="15" w:type="dxa"/>
              <w:left w:w="15" w:type="dxa"/>
              <w:right w:w="15" w:type="dxa"/>
            </w:tcMar>
            <w:vAlign w:val="center"/>
          </w:tcPr>
          <w:p>
            <w:pPr>
              <w:pStyle w:val="53"/>
              <w:spacing w:beforeLines="0" w:afterLines="0"/>
              <w:rPr>
                <w:rFonts w:hint="default" w:eastAsia="宋体"/>
                <w:lang w:val="en-US" w:eastAsia="zh-CN"/>
              </w:rPr>
            </w:pPr>
            <w:r>
              <w:rPr>
                <w:rFonts w:hint="eastAsia" w:ascii="宋体" w:hAnsi="宋体" w:cs="宋体"/>
              </w:rPr>
              <w:t>Ψ1Z =(A1*B1+A2*B2+A3*B3+A4*B4)/A5=0.</w:t>
            </w:r>
            <w:r>
              <w:rPr>
                <w:rFonts w:hint="eastAsia" w:ascii="宋体" w:hAnsi="宋体" w:cs="宋体"/>
                <w:lang w:val="en-US" w:eastAsia="zh-CN"/>
              </w:rPr>
              <w:t>486</w:t>
            </w:r>
          </w:p>
        </w:tc>
      </w:tr>
    </w:tbl>
    <w:p>
      <w:pPr>
        <w:autoSpaceDE/>
        <w:autoSpaceDN/>
        <w:adjustRightInd/>
        <w:spacing w:before="156" w:after="156" w:line="360" w:lineRule="auto"/>
        <w:ind w:firstLine="0" w:firstLineChars="0"/>
        <w:jc w:val="center"/>
        <w:rPr>
          <w:rFonts w:hAnsi="宋体" w:cs="宋体"/>
          <w:b/>
          <w:bCs/>
        </w:rPr>
      </w:pPr>
      <w:r>
        <w:rPr>
          <w:rFonts w:hint="eastAsia" w:hAnsi="宋体" w:cs="宋体"/>
          <w:b/>
          <w:bCs/>
        </w:rPr>
        <w:t>表4-</w:t>
      </w:r>
      <w:r>
        <w:rPr>
          <w:rFonts w:hint="eastAsia" w:hAnsi="宋体" w:cs="宋体"/>
          <w:b/>
          <w:bCs/>
          <w:lang w:val="en-US" w:eastAsia="zh-CN"/>
        </w:rPr>
        <w:t>5</w:t>
      </w:r>
      <w:r>
        <w:rPr>
          <w:rFonts w:hint="eastAsia" w:hAnsi="宋体" w:cs="宋体"/>
          <w:b/>
          <w:bCs/>
        </w:rPr>
        <w:t xml:space="preserve">  场地设计所需调蓄容积计算</w:t>
      </w:r>
    </w:p>
    <w:tbl>
      <w:tblPr>
        <w:tblStyle w:val="45"/>
        <w:tblW w:w="87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94"/>
        <w:gridCol w:w="971"/>
        <w:gridCol w:w="1620"/>
        <w:gridCol w:w="1130"/>
        <w:gridCol w:w="1557"/>
        <w:gridCol w:w="1459"/>
        <w:gridCol w:w="14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4" w:type="dxa"/>
            <w:vAlign w:val="center"/>
          </w:tcPr>
          <w:p>
            <w:pPr>
              <w:pStyle w:val="53"/>
              <w:spacing w:before="31" w:after="31"/>
            </w:pPr>
            <w:r>
              <w:rPr>
                <w:rFonts w:hint="eastAsia"/>
              </w:rPr>
              <w:t>序号</w:t>
            </w:r>
          </w:p>
        </w:tc>
        <w:tc>
          <w:tcPr>
            <w:tcW w:w="971" w:type="dxa"/>
            <w:vAlign w:val="center"/>
          </w:tcPr>
          <w:p>
            <w:pPr>
              <w:pStyle w:val="53"/>
              <w:spacing w:before="31" w:after="31"/>
            </w:pPr>
            <w:r>
              <w:rPr>
                <w:rFonts w:hint="eastAsia"/>
              </w:rPr>
              <w:t>汇水</w:t>
            </w:r>
          </w:p>
          <w:p>
            <w:pPr>
              <w:pStyle w:val="53"/>
              <w:spacing w:before="31" w:after="31"/>
            </w:pPr>
            <w:r>
              <w:rPr>
                <w:rFonts w:hint="eastAsia"/>
              </w:rPr>
              <w:t>分区</w:t>
            </w:r>
          </w:p>
        </w:tc>
        <w:tc>
          <w:tcPr>
            <w:tcW w:w="1620" w:type="dxa"/>
            <w:vAlign w:val="center"/>
          </w:tcPr>
          <w:p>
            <w:pPr>
              <w:pStyle w:val="53"/>
              <w:spacing w:before="31" w:after="31"/>
            </w:pPr>
            <w:r>
              <w:rPr>
                <w:rFonts w:hint="eastAsia"/>
              </w:rPr>
              <w:t>建设用地面积F（㎡）</w:t>
            </w:r>
          </w:p>
        </w:tc>
        <w:tc>
          <w:tcPr>
            <w:tcW w:w="1130" w:type="dxa"/>
            <w:vAlign w:val="center"/>
          </w:tcPr>
          <w:p>
            <w:pPr>
              <w:pStyle w:val="53"/>
              <w:spacing w:before="31" w:after="31"/>
            </w:pPr>
            <w:r>
              <w:rPr>
                <w:rFonts w:hint="eastAsia"/>
              </w:rPr>
              <w:t>径流系数ψ</w:t>
            </w:r>
          </w:p>
        </w:tc>
        <w:tc>
          <w:tcPr>
            <w:tcW w:w="1557" w:type="dxa"/>
            <w:vAlign w:val="center"/>
          </w:tcPr>
          <w:p>
            <w:pPr>
              <w:pStyle w:val="53"/>
              <w:spacing w:before="31" w:after="31"/>
            </w:pPr>
            <w:r>
              <w:rPr>
                <w:rFonts w:hint="eastAsia"/>
              </w:rPr>
              <w:t>年径流总控制率a（%）</w:t>
            </w:r>
          </w:p>
        </w:tc>
        <w:tc>
          <w:tcPr>
            <w:tcW w:w="1459" w:type="dxa"/>
            <w:vAlign w:val="center"/>
          </w:tcPr>
          <w:p>
            <w:pPr>
              <w:pStyle w:val="53"/>
              <w:spacing w:before="31" w:after="31"/>
            </w:pPr>
            <w:r>
              <w:rPr>
                <w:rFonts w:hint="eastAsia"/>
              </w:rPr>
              <w:t>设计降雨量h（mm）</w:t>
            </w:r>
          </w:p>
        </w:tc>
        <w:tc>
          <w:tcPr>
            <w:tcW w:w="1430" w:type="dxa"/>
            <w:vAlign w:val="center"/>
          </w:tcPr>
          <w:p>
            <w:pPr>
              <w:pStyle w:val="53"/>
              <w:spacing w:before="31" w:after="31"/>
            </w:pPr>
            <w:r>
              <w:rPr>
                <w:rFonts w:hint="eastAsia"/>
              </w:rPr>
              <w:t>场地设计所需调蓄容量（m³)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4" w:type="dxa"/>
            <w:vAlign w:val="center"/>
          </w:tcPr>
          <w:p>
            <w:pPr>
              <w:pStyle w:val="53"/>
              <w:spacing w:before="31" w:after="31"/>
              <w:rPr>
                <w:rFonts w:hint="eastAsia" w:eastAsia="宋体"/>
                <w:lang w:val="en-US" w:eastAsia="zh-CN"/>
              </w:rPr>
            </w:pPr>
            <w:r>
              <w:rPr>
                <w:rFonts w:hint="eastAsia" w:eastAsia="宋体"/>
                <w:lang w:val="en-US" w:eastAsia="zh-CN"/>
              </w:rPr>
              <w:t>1</w:t>
            </w:r>
          </w:p>
        </w:tc>
        <w:tc>
          <w:tcPr>
            <w:tcW w:w="971" w:type="dxa"/>
            <w:vAlign w:val="center"/>
          </w:tcPr>
          <w:p>
            <w:pPr>
              <w:pStyle w:val="53"/>
              <w:spacing w:before="31" w:after="31"/>
              <w:rPr>
                <w:rFonts w:hint="eastAsia" w:eastAsia="宋体"/>
                <w:lang w:val="en-US" w:eastAsia="zh-CN"/>
              </w:rPr>
            </w:pPr>
            <w:r>
              <w:rPr>
                <w:rFonts w:hint="eastAsia" w:eastAsia="宋体"/>
                <w:lang w:val="en-US" w:eastAsia="zh-CN"/>
              </w:rPr>
              <w:t>总地块</w:t>
            </w:r>
          </w:p>
        </w:tc>
        <w:tc>
          <w:tcPr>
            <w:tcW w:w="1620" w:type="dxa"/>
            <w:vAlign w:val="center"/>
          </w:tcPr>
          <w:p>
            <w:pPr>
              <w:pStyle w:val="53"/>
              <w:spacing w:before="31" w:after="31"/>
              <w:rPr>
                <w:rFonts w:hint="eastAsia" w:eastAsia="宋体"/>
                <w:lang w:val="en-US" w:eastAsia="zh-CN"/>
              </w:rPr>
            </w:pPr>
            <w:r>
              <w:rPr>
                <w:rFonts w:hint="eastAsia" w:eastAsia="宋体"/>
                <w:lang w:val="en-US" w:eastAsia="zh-CN"/>
              </w:rPr>
              <w:t xml:space="preserve">82927.00 </w:t>
            </w:r>
          </w:p>
        </w:tc>
        <w:tc>
          <w:tcPr>
            <w:tcW w:w="1130" w:type="dxa"/>
            <w:vAlign w:val="center"/>
          </w:tcPr>
          <w:p>
            <w:pPr>
              <w:pStyle w:val="53"/>
              <w:spacing w:before="31" w:after="31"/>
              <w:rPr>
                <w:rFonts w:hint="default" w:eastAsia="宋体"/>
                <w:lang w:val="en-US" w:eastAsia="zh-CN"/>
              </w:rPr>
            </w:pPr>
            <w:r>
              <w:rPr>
                <w:rFonts w:hint="eastAsia" w:eastAsia="宋体"/>
                <w:lang w:val="en-US" w:eastAsia="zh-CN"/>
              </w:rPr>
              <w:t xml:space="preserve">0.413 </w:t>
            </w:r>
          </w:p>
        </w:tc>
        <w:tc>
          <w:tcPr>
            <w:tcW w:w="1557" w:type="dxa"/>
            <w:vAlign w:val="center"/>
          </w:tcPr>
          <w:p>
            <w:pPr>
              <w:pStyle w:val="53"/>
              <w:spacing w:before="31" w:after="31"/>
              <w:rPr>
                <w:rFonts w:hint="default" w:eastAsia="宋体"/>
                <w:lang w:val="en-US" w:eastAsia="zh-CN"/>
              </w:rPr>
            </w:pPr>
            <w:r>
              <w:rPr>
                <w:rFonts w:hint="eastAsia" w:eastAsia="宋体"/>
                <w:lang w:val="en-US" w:eastAsia="zh-CN"/>
              </w:rPr>
              <w:t>80</w:t>
            </w:r>
          </w:p>
        </w:tc>
        <w:tc>
          <w:tcPr>
            <w:tcW w:w="1459" w:type="dxa"/>
            <w:vAlign w:val="center"/>
          </w:tcPr>
          <w:p>
            <w:pPr>
              <w:pStyle w:val="53"/>
              <w:spacing w:before="31" w:after="31"/>
              <w:rPr>
                <w:rFonts w:hint="default" w:eastAsia="宋体"/>
                <w:lang w:val="en-US" w:eastAsia="zh-CN"/>
              </w:rPr>
            </w:pPr>
            <w:r>
              <w:rPr>
                <w:rFonts w:hint="eastAsia" w:eastAsia="宋体"/>
                <w:lang w:val="en-US" w:eastAsia="zh-CN"/>
              </w:rPr>
              <w:t>38.3</w:t>
            </w:r>
          </w:p>
        </w:tc>
        <w:tc>
          <w:tcPr>
            <w:tcW w:w="1430" w:type="dxa"/>
            <w:vAlign w:val="center"/>
          </w:tcPr>
          <w:p>
            <w:pPr>
              <w:pStyle w:val="53"/>
              <w:spacing w:before="31" w:after="31"/>
              <w:rPr>
                <w:rFonts w:hint="default" w:eastAsia="宋体"/>
                <w:lang w:val="en-US" w:eastAsia="zh-CN"/>
              </w:rPr>
            </w:pPr>
            <w:r>
              <w:rPr>
                <w:rFonts w:hint="eastAsia" w:eastAsia="宋体"/>
                <w:lang w:val="en-US" w:eastAsia="zh-CN"/>
              </w:rPr>
              <w:t xml:space="preserve">1313.05 </w:t>
            </w:r>
          </w:p>
        </w:tc>
      </w:tr>
    </w:tbl>
    <w:p>
      <w:pPr>
        <w:pStyle w:val="4"/>
        <w:spacing w:before="156" w:after="156"/>
      </w:pPr>
      <w:bookmarkStart w:id="52" w:name="_Toc3190"/>
      <w:bookmarkStart w:id="53" w:name="_Toc2111"/>
      <w:r>
        <w:rPr>
          <w:rFonts w:hint="eastAsia"/>
        </w:rPr>
        <w:t>4.3、雨水调蓄容积校核</w:t>
      </w:r>
      <w:bookmarkEnd w:id="52"/>
      <w:bookmarkEnd w:id="53"/>
    </w:p>
    <w:p>
      <w:pPr>
        <w:spacing w:before="156" w:after="156"/>
        <w:ind w:firstLine="480"/>
        <w:rPr>
          <w:rFonts w:hAnsi="宋体" w:cs="宋体"/>
        </w:rPr>
      </w:pPr>
      <w:r>
        <w:rPr>
          <w:rFonts w:hint="eastAsia" w:hAnsi="宋体" w:cs="宋体"/>
        </w:rPr>
        <w:t>根据《海绵城市建设技术指南——低影响开发雨水系统构建（试行）》，透水铺装仅参与综合雨量径流系数的计算，其结构内的空隙容积一般不再计入总调蓄容积。本项目雨水调蓄措施主要为</w:t>
      </w:r>
      <w:r>
        <w:rPr>
          <w:rFonts w:hint="eastAsia" w:hAnsi="宋体" w:cs="宋体"/>
          <w:lang w:val="en-US" w:eastAsia="zh-CN"/>
        </w:rPr>
        <w:t>下沉绿地</w:t>
      </w:r>
      <w:r>
        <w:rPr>
          <w:rFonts w:hint="eastAsia" w:hAnsi="宋体" w:cs="宋体"/>
        </w:rPr>
        <w:t>，雨水调蓄设施详见“海绵城市设施分布平面图”。</w:t>
      </w:r>
    </w:p>
    <w:p>
      <w:pPr>
        <w:spacing w:before="156" w:after="156"/>
        <w:ind w:firstLine="480"/>
        <w:rPr>
          <w:rFonts w:hint="eastAsia" w:hAnsi="宋体" w:cs="宋体"/>
        </w:rPr>
      </w:pPr>
      <w:r>
        <w:rPr>
          <w:rFonts w:hint="eastAsia" w:hAnsi="宋体" w:cs="宋体"/>
        </w:rPr>
        <w:t>本项目</w:t>
      </w:r>
      <w:r>
        <w:rPr>
          <w:rFonts w:hint="eastAsia" w:hAnsi="宋体" w:cs="宋体"/>
          <w:lang w:val="en-US" w:eastAsia="zh-CN"/>
        </w:rPr>
        <w:t>下沉绿地</w:t>
      </w:r>
      <w:r>
        <w:rPr>
          <w:rFonts w:hint="eastAsia" w:hAnsi="宋体" w:cs="宋体"/>
        </w:rPr>
        <w:t>的深度按</w:t>
      </w:r>
      <w:r>
        <w:rPr>
          <w:rFonts w:hint="eastAsia" w:hAnsi="宋体" w:cs="宋体"/>
          <w:lang w:val="en-US" w:eastAsia="zh-CN"/>
        </w:rPr>
        <w:t>20</w:t>
      </w:r>
      <w:r>
        <w:rPr>
          <w:rFonts w:hint="eastAsia" w:hAnsi="宋体" w:cs="宋体"/>
        </w:rPr>
        <w:t>0mm设计，</w:t>
      </w:r>
      <w:r>
        <w:rPr>
          <w:rFonts w:hint="eastAsia" w:hAnsi="宋体" w:cs="宋体"/>
          <w:lang w:val="en-US" w:eastAsia="zh-CN"/>
        </w:rPr>
        <w:t>下沉绿地</w:t>
      </w:r>
      <w:r>
        <w:rPr>
          <w:rFonts w:hint="eastAsia" w:hAnsi="宋体" w:cs="宋体"/>
        </w:rPr>
        <w:t>溢流口高度高出</w:t>
      </w:r>
      <w:r>
        <w:rPr>
          <w:rFonts w:hint="eastAsia"/>
          <w:lang w:val="en-US" w:eastAsia="zh-CN"/>
        </w:rPr>
        <w:t>下沉绿地</w:t>
      </w:r>
      <w:r>
        <w:rPr>
          <w:rFonts w:hint="eastAsia" w:hAnsi="宋体" w:cs="宋体"/>
        </w:rPr>
        <w:t>底部</w:t>
      </w:r>
      <w:r>
        <w:rPr>
          <w:rFonts w:hint="eastAsia" w:hAnsi="宋体" w:cs="宋体"/>
          <w:lang w:val="en-US" w:eastAsia="zh-CN"/>
        </w:rPr>
        <w:t>15</w:t>
      </w:r>
      <w:r>
        <w:rPr>
          <w:rFonts w:hint="eastAsia" w:hAnsi="宋体" w:cs="宋体"/>
        </w:rPr>
        <w:t>0mm，调蓄深度按</w:t>
      </w:r>
      <w:r>
        <w:rPr>
          <w:rFonts w:hint="eastAsia" w:hAnsi="宋体" w:cs="宋体"/>
          <w:lang w:val="en-US" w:eastAsia="zh-CN"/>
        </w:rPr>
        <w:t>15</w:t>
      </w:r>
      <w:r>
        <w:rPr>
          <w:rFonts w:hint="eastAsia" w:hAnsi="宋体" w:cs="宋体"/>
        </w:rPr>
        <w:t>0mm计算。考虑实际施工下沉式绿地存在放坡及堆土情况，本项目计算</w:t>
      </w:r>
      <w:r>
        <w:rPr>
          <w:rFonts w:hint="eastAsia"/>
          <w:lang w:val="en-US" w:eastAsia="zh-CN"/>
        </w:rPr>
        <w:t>下沉绿地</w:t>
      </w:r>
      <w:r>
        <w:rPr>
          <w:rFonts w:hint="eastAsia" w:hAnsi="宋体" w:cs="宋体"/>
        </w:rPr>
        <w:t>设计调蓄容积时按0</w:t>
      </w:r>
      <w:r>
        <w:rPr>
          <w:rFonts w:hint="eastAsia" w:hAnsi="宋体" w:cs="宋体"/>
          <w:lang w:val="en-US" w:eastAsia="zh-CN"/>
        </w:rPr>
        <w:t>.90</w:t>
      </w:r>
      <w:r>
        <w:rPr>
          <w:rFonts w:hint="eastAsia" w:hAnsi="宋体" w:cs="宋体"/>
        </w:rPr>
        <w:t>倍进行折算。</w:t>
      </w:r>
    </w:p>
    <w:p>
      <w:pPr>
        <w:spacing w:before="156" w:after="156"/>
        <w:ind w:firstLine="723" w:firstLineChars="300"/>
        <w:jc w:val="center"/>
        <w:rPr>
          <w:rFonts w:hAnsi="宋体" w:cs="宋体"/>
          <w:b/>
          <w:bCs/>
          <w:color w:val="auto"/>
          <w:highlight w:val="none"/>
        </w:rPr>
      </w:pPr>
      <w:r>
        <w:rPr>
          <w:rFonts w:hint="eastAsia" w:hAnsi="宋体" w:cs="宋体"/>
          <w:b/>
          <w:bCs/>
          <w:color w:val="auto"/>
          <w:highlight w:val="none"/>
        </w:rPr>
        <w:t>表4-</w:t>
      </w:r>
      <w:r>
        <w:rPr>
          <w:rFonts w:hint="eastAsia" w:hAnsi="宋体" w:cs="宋体"/>
          <w:b/>
          <w:bCs/>
          <w:color w:val="auto"/>
          <w:highlight w:val="none"/>
          <w:lang w:val="en-US" w:eastAsia="zh-CN"/>
        </w:rPr>
        <w:t>6</w:t>
      </w:r>
      <w:r>
        <w:rPr>
          <w:rFonts w:hint="eastAsia" w:hAnsi="宋体" w:cs="宋体"/>
          <w:b/>
          <w:bCs/>
          <w:color w:val="auto"/>
          <w:highlight w:val="none"/>
        </w:rPr>
        <w:t xml:space="preserve">  各汇水分</w:t>
      </w:r>
      <w:r>
        <w:rPr>
          <w:rFonts w:hint="eastAsia" w:hAnsi="宋体" w:cs="宋体"/>
          <w:b/>
          <w:bCs/>
          <w:color w:val="auto"/>
          <w:highlight w:val="none"/>
          <w:lang w:val="en-US" w:eastAsia="zh-CN"/>
        </w:rPr>
        <w:t>下沉绿地</w:t>
      </w:r>
      <w:r>
        <w:rPr>
          <w:rFonts w:hint="eastAsia" w:hAnsi="宋体" w:cs="宋体"/>
          <w:b/>
          <w:bCs/>
          <w:color w:val="auto"/>
          <w:highlight w:val="none"/>
        </w:rPr>
        <w:t>设施设计调蓄容积计算</w:t>
      </w:r>
    </w:p>
    <w:tbl>
      <w:tblPr>
        <w:tblStyle w:val="45"/>
        <w:tblW w:w="871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5"/>
        <w:gridCol w:w="1645"/>
        <w:gridCol w:w="1190"/>
        <w:gridCol w:w="1134"/>
        <w:gridCol w:w="1134"/>
        <w:gridCol w:w="1021"/>
        <w:gridCol w:w="17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15" w:type="dxa"/>
            <w:vAlign w:val="center"/>
          </w:tcPr>
          <w:p>
            <w:pPr>
              <w:pStyle w:val="53"/>
              <w:spacing w:before="31" w:after="31"/>
              <w:rPr>
                <w:rFonts w:hint="eastAsia"/>
                <w:color w:val="auto"/>
                <w:highlight w:val="none"/>
                <w:lang w:val="en-US" w:eastAsia="zh-CN"/>
              </w:rPr>
            </w:pPr>
            <w:r>
              <w:rPr>
                <w:rFonts w:hint="eastAsia"/>
                <w:color w:val="auto"/>
                <w:highlight w:val="none"/>
                <w:lang w:val="en-US" w:eastAsia="zh-CN"/>
              </w:rPr>
              <w:t>序号</w:t>
            </w:r>
          </w:p>
        </w:tc>
        <w:tc>
          <w:tcPr>
            <w:tcW w:w="1645" w:type="dxa"/>
            <w:vAlign w:val="center"/>
          </w:tcPr>
          <w:p>
            <w:pPr>
              <w:pStyle w:val="53"/>
              <w:spacing w:before="31" w:after="31"/>
              <w:rPr>
                <w:rFonts w:hint="eastAsia"/>
                <w:color w:val="auto"/>
                <w:highlight w:val="none"/>
                <w:lang w:val="en-US" w:eastAsia="zh-CN"/>
              </w:rPr>
            </w:pPr>
            <w:r>
              <w:rPr>
                <w:rFonts w:hint="eastAsia"/>
                <w:color w:val="auto"/>
                <w:highlight w:val="none"/>
                <w:lang w:val="en-US" w:eastAsia="zh-CN"/>
              </w:rPr>
              <w:t>汇水分区</w:t>
            </w:r>
          </w:p>
        </w:tc>
        <w:tc>
          <w:tcPr>
            <w:tcW w:w="1190" w:type="dxa"/>
            <w:vAlign w:val="center"/>
          </w:tcPr>
          <w:p>
            <w:pPr>
              <w:pStyle w:val="53"/>
              <w:spacing w:before="31" w:after="31"/>
              <w:rPr>
                <w:rFonts w:hint="eastAsia"/>
                <w:color w:val="auto"/>
                <w:highlight w:val="none"/>
                <w:lang w:val="en-US" w:eastAsia="zh-CN"/>
              </w:rPr>
            </w:pPr>
            <w:r>
              <w:rPr>
                <w:rFonts w:hint="eastAsia"/>
                <w:color w:val="auto"/>
                <w:highlight w:val="none"/>
                <w:lang w:val="en-US" w:eastAsia="zh-CN"/>
              </w:rPr>
              <w:t>LID设施</w:t>
            </w:r>
          </w:p>
        </w:tc>
        <w:tc>
          <w:tcPr>
            <w:tcW w:w="1134" w:type="dxa"/>
            <w:vAlign w:val="center"/>
          </w:tcPr>
          <w:p>
            <w:pPr>
              <w:pStyle w:val="53"/>
              <w:spacing w:before="31" w:after="31"/>
              <w:rPr>
                <w:rFonts w:hint="eastAsia"/>
                <w:color w:val="auto"/>
                <w:highlight w:val="none"/>
                <w:lang w:val="en-US" w:eastAsia="zh-CN"/>
              </w:rPr>
            </w:pPr>
            <w:r>
              <w:rPr>
                <w:rFonts w:hint="eastAsia"/>
                <w:color w:val="auto"/>
                <w:highlight w:val="none"/>
                <w:lang w:val="en-US" w:eastAsia="zh-CN"/>
              </w:rPr>
              <w:t>面积</w:t>
            </w:r>
          </w:p>
          <w:p>
            <w:pPr>
              <w:pStyle w:val="53"/>
              <w:spacing w:before="31" w:after="31"/>
              <w:rPr>
                <w:rFonts w:hint="eastAsia"/>
                <w:color w:val="auto"/>
                <w:highlight w:val="none"/>
                <w:lang w:val="en-US" w:eastAsia="zh-CN"/>
              </w:rPr>
            </w:pPr>
            <w:r>
              <w:rPr>
                <w:rFonts w:hint="eastAsia"/>
                <w:color w:val="auto"/>
                <w:highlight w:val="none"/>
                <w:lang w:val="en-US" w:eastAsia="zh-CN"/>
              </w:rPr>
              <w:t>（㎡）</w:t>
            </w:r>
          </w:p>
        </w:tc>
        <w:tc>
          <w:tcPr>
            <w:tcW w:w="1134" w:type="dxa"/>
            <w:vAlign w:val="center"/>
          </w:tcPr>
          <w:p>
            <w:pPr>
              <w:pStyle w:val="53"/>
              <w:spacing w:before="31" w:after="31"/>
              <w:rPr>
                <w:rFonts w:hint="eastAsia"/>
                <w:color w:val="auto"/>
                <w:highlight w:val="none"/>
                <w:lang w:val="en-US" w:eastAsia="zh-CN"/>
              </w:rPr>
            </w:pPr>
            <w:r>
              <w:rPr>
                <w:rFonts w:hint="eastAsia"/>
                <w:color w:val="auto"/>
                <w:highlight w:val="none"/>
                <w:lang w:val="en-US" w:eastAsia="zh-CN"/>
              </w:rPr>
              <w:t>调蓄深度</w:t>
            </w:r>
          </w:p>
          <w:p>
            <w:pPr>
              <w:pStyle w:val="53"/>
              <w:spacing w:before="31" w:after="31"/>
              <w:rPr>
                <w:rFonts w:hint="eastAsia"/>
                <w:color w:val="auto"/>
                <w:highlight w:val="none"/>
                <w:lang w:val="en-US" w:eastAsia="zh-CN"/>
              </w:rPr>
            </w:pPr>
            <w:r>
              <w:rPr>
                <w:rFonts w:hint="eastAsia"/>
                <w:color w:val="auto"/>
                <w:highlight w:val="none"/>
                <w:lang w:val="en-US" w:eastAsia="zh-CN"/>
              </w:rPr>
              <w:t>（m）</w:t>
            </w:r>
          </w:p>
        </w:tc>
        <w:tc>
          <w:tcPr>
            <w:tcW w:w="1021" w:type="dxa"/>
            <w:vAlign w:val="center"/>
          </w:tcPr>
          <w:p>
            <w:pPr>
              <w:pStyle w:val="53"/>
              <w:spacing w:before="31" w:after="31"/>
              <w:rPr>
                <w:rFonts w:hint="eastAsia"/>
                <w:color w:val="auto"/>
                <w:highlight w:val="none"/>
                <w:lang w:val="en-US" w:eastAsia="zh-CN"/>
              </w:rPr>
            </w:pPr>
            <w:r>
              <w:rPr>
                <w:rFonts w:hint="eastAsia"/>
                <w:color w:val="auto"/>
                <w:highlight w:val="none"/>
                <w:lang w:val="en-US" w:eastAsia="zh-CN"/>
              </w:rPr>
              <w:t>折减</w:t>
            </w:r>
          </w:p>
          <w:p>
            <w:pPr>
              <w:pStyle w:val="53"/>
              <w:spacing w:before="31" w:after="31"/>
              <w:rPr>
                <w:rFonts w:hint="eastAsia"/>
                <w:color w:val="auto"/>
                <w:highlight w:val="none"/>
                <w:lang w:val="en-US" w:eastAsia="zh-CN"/>
              </w:rPr>
            </w:pPr>
            <w:r>
              <w:rPr>
                <w:rFonts w:hint="eastAsia"/>
                <w:color w:val="auto"/>
                <w:highlight w:val="none"/>
                <w:lang w:val="en-US" w:eastAsia="zh-CN"/>
              </w:rPr>
              <w:t>系数</w:t>
            </w:r>
          </w:p>
        </w:tc>
        <w:tc>
          <w:tcPr>
            <w:tcW w:w="1772" w:type="dxa"/>
            <w:vAlign w:val="center"/>
          </w:tcPr>
          <w:p>
            <w:pPr>
              <w:pStyle w:val="53"/>
              <w:spacing w:before="31" w:after="31"/>
              <w:rPr>
                <w:rFonts w:hint="eastAsia"/>
                <w:color w:val="auto"/>
                <w:highlight w:val="none"/>
                <w:lang w:val="en-US" w:eastAsia="zh-CN"/>
              </w:rPr>
            </w:pPr>
            <w:r>
              <w:rPr>
                <w:rFonts w:hint="eastAsia" w:ascii="宋体" w:hAnsi="宋体" w:cs="宋体"/>
                <w:color w:val="auto"/>
                <w:highlight w:val="none"/>
                <w:lang w:val="en-US" w:eastAsia="zh-CN"/>
              </w:rPr>
              <w:t>下凹绿地</w:t>
            </w:r>
            <w:r>
              <w:rPr>
                <w:rFonts w:hint="eastAsia"/>
                <w:color w:val="auto"/>
                <w:highlight w:val="none"/>
                <w:lang w:val="en-US" w:eastAsia="zh-CN"/>
              </w:rPr>
              <w:t>设计调蓄容积（m³)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4" w:hRule="atLeast"/>
          <w:jc w:val="center"/>
        </w:trPr>
        <w:tc>
          <w:tcPr>
            <w:tcW w:w="815" w:type="dxa"/>
            <w:vAlign w:val="center"/>
          </w:tcPr>
          <w:p>
            <w:pPr>
              <w:pStyle w:val="53"/>
              <w:spacing w:before="31" w:after="31"/>
              <w:ind w:firstLine="0" w:firstLineChars="0"/>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w:t>
            </w:r>
          </w:p>
        </w:tc>
        <w:tc>
          <w:tcPr>
            <w:tcW w:w="1645" w:type="dxa"/>
            <w:vAlign w:val="center"/>
          </w:tcPr>
          <w:p>
            <w:pPr>
              <w:pStyle w:val="53"/>
              <w:spacing w:before="31" w:after="31"/>
              <w:ind w:firstLine="0" w:firstLineChars="0"/>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总地块</w:t>
            </w:r>
          </w:p>
        </w:tc>
        <w:tc>
          <w:tcPr>
            <w:tcW w:w="1190" w:type="dxa"/>
            <w:vAlign w:val="center"/>
          </w:tcPr>
          <w:p>
            <w:pPr>
              <w:pStyle w:val="53"/>
              <w:spacing w:before="31" w:after="31"/>
              <w:ind w:firstLine="0" w:firstLineChars="0"/>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下沉绿地</w:t>
            </w:r>
          </w:p>
        </w:tc>
        <w:tc>
          <w:tcPr>
            <w:tcW w:w="1134" w:type="dxa"/>
            <w:vAlign w:val="center"/>
          </w:tcPr>
          <w:p>
            <w:pPr>
              <w:pStyle w:val="53"/>
              <w:spacing w:before="31" w:after="31"/>
              <w:ind w:firstLine="0" w:firstLineChars="0"/>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 xml:space="preserve">9979 </w:t>
            </w:r>
          </w:p>
        </w:tc>
        <w:tc>
          <w:tcPr>
            <w:tcW w:w="1134" w:type="dxa"/>
            <w:vAlign w:val="center"/>
          </w:tcPr>
          <w:p>
            <w:pPr>
              <w:pStyle w:val="53"/>
              <w:spacing w:before="31" w:after="31"/>
              <w:ind w:firstLine="0" w:firstLineChars="0"/>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0.15</w:t>
            </w:r>
          </w:p>
        </w:tc>
        <w:tc>
          <w:tcPr>
            <w:tcW w:w="1021" w:type="dxa"/>
            <w:vAlign w:val="center"/>
          </w:tcPr>
          <w:p>
            <w:pPr>
              <w:pStyle w:val="53"/>
              <w:spacing w:before="31" w:after="31"/>
              <w:ind w:firstLine="0" w:firstLineChars="0"/>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0.90</w:t>
            </w:r>
          </w:p>
        </w:tc>
        <w:tc>
          <w:tcPr>
            <w:tcW w:w="1772" w:type="dxa"/>
            <w:vAlign w:val="center"/>
          </w:tcPr>
          <w:p>
            <w:pPr>
              <w:pStyle w:val="53"/>
              <w:spacing w:before="31" w:after="31"/>
              <w:ind w:firstLine="0" w:firstLineChars="0"/>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 xml:space="preserve">1347.17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4" w:hRule="atLeast"/>
          <w:jc w:val="center"/>
        </w:trPr>
        <w:tc>
          <w:tcPr>
            <w:tcW w:w="815" w:type="dxa"/>
            <w:vAlign w:val="center"/>
          </w:tcPr>
          <w:p>
            <w:pPr>
              <w:pStyle w:val="53"/>
              <w:spacing w:before="31" w:after="31"/>
              <w:ind w:firstLine="0" w:firstLineChars="0"/>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2</w:t>
            </w:r>
          </w:p>
        </w:tc>
        <w:tc>
          <w:tcPr>
            <w:tcW w:w="1645" w:type="dxa"/>
            <w:vAlign w:val="center"/>
          </w:tcPr>
          <w:p>
            <w:pPr>
              <w:pStyle w:val="53"/>
              <w:spacing w:before="31" w:after="31"/>
              <w:ind w:firstLine="0" w:firstLineChars="0"/>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第一分区</w:t>
            </w:r>
          </w:p>
        </w:tc>
        <w:tc>
          <w:tcPr>
            <w:tcW w:w="1190" w:type="dxa"/>
            <w:vAlign w:val="center"/>
          </w:tcPr>
          <w:p>
            <w:pPr>
              <w:pStyle w:val="53"/>
              <w:spacing w:before="31" w:after="31"/>
              <w:ind w:firstLine="0" w:firstLineChars="0"/>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下沉绿地</w:t>
            </w:r>
          </w:p>
        </w:tc>
        <w:tc>
          <w:tcPr>
            <w:tcW w:w="1134" w:type="dxa"/>
            <w:vAlign w:val="center"/>
          </w:tcPr>
          <w:p>
            <w:pPr>
              <w:pStyle w:val="53"/>
              <w:spacing w:before="31" w:after="31"/>
              <w:ind w:firstLine="0" w:firstLineChars="0"/>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 xml:space="preserve">5042 </w:t>
            </w:r>
          </w:p>
        </w:tc>
        <w:tc>
          <w:tcPr>
            <w:tcW w:w="1134" w:type="dxa"/>
            <w:vAlign w:val="center"/>
          </w:tcPr>
          <w:p>
            <w:pPr>
              <w:pStyle w:val="53"/>
              <w:spacing w:before="31" w:after="31"/>
              <w:ind w:firstLine="0" w:firstLineChars="0"/>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0.15</w:t>
            </w:r>
          </w:p>
        </w:tc>
        <w:tc>
          <w:tcPr>
            <w:tcW w:w="1021" w:type="dxa"/>
            <w:vAlign w:val="center"/>
          </w:tcPr>
          <w:p>
            <w:pPr>
              <w:pStyle w:val="53"/>
              <w:spacing w:before="31" w:after="31"/>
              <w:ind w:firstLine="0" w:firstLineChars="0"/>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0.90</w:t>
            </w:r>
          </w:p>
        </w:tc>
        <w:tc>
          <w:tcPr>
            <w:tcW w:w="1772" w:type="dxa"/>
            <w:vAlign w:val="center"/>
          </w:tcPr>
          <w:p>
            <w:pPr>
              <w:pStyle w:val="53"/>
              <w:spacing w:before="31" w:after="31"/>
              <w:ind w:firstLine="0" w:firstLineChars="0"/>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680.67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4" w:hRule="atLeast"/>
          <w:jc w:val="center"/>
        </w:trPr>
        <w:tc>
          <w:tcPr>
            <w:tcW w:w="815" w:type="dxa"/>
            <w:vAlign w:val="center"/>
          </w:tcPr>
          <w:p>
            <w:pPr>
              <w:pStyle w:val="53"/>
              <w:spacing w:before="31" w:after="31"/>
              <w:ind w:firstLine="0" w:firstLineChars="0"/>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3</w:t>
            </w:r>
          </w:p>
        </w:tc>
        <w:tc>
          <w:tcPr>
            <w:tcW w:w="1645" w:type="dxa"/>
            <w:vAlign w:val="center"/>
          </w:tcPr>
          <w:p>
            <w:pPr>
              <w:pStyle w:val="53"/>
              <w:spacing w:before="31" w:after="31"/>
              <w:ind w:firstLine="0" w:firstLineChars="0"/>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第二分区</w:t>
            </w:r>
          </w:p>
        </w:tc>
        <w:tc>
          <w:tcPr>
            <w:tcW w:w="1190" w:type="dxa"/>
            <w:vAlign w:val="center"/>
          </w:tcPr>
          <w:p>
            <w:pPr>
              <w:pStyle w:val="53"/>
              <w:spacing w:before="31" w:after="31"/>
              <w:ind w:firstLine="0" w:firstLineChars="0"/>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下沉绿地</w:t>
            </w:r>
          </w:p>
        </w:tc>
        <w:tc>
          <w:tcPr>
            <w:tcW w:w="1134" w:type="dxa"/>
            <w:vAlign w:val="center"/>
          </w:tcPr>
          <w:p>
            <w:pPr>
              <w:pStyle w:val="53"/>
              <w:spacing w:before="31" w:after="31"/>
              <w:ind w:firstLine="0" w:firstLineChars="0"/>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 xml:space="preserve">3557 </w:t>
            </w:r>
          </w:p>
        </w:tc>
        <w:tc>
          <w:tcPr>
            <w:tcW w:w="1134" w:type="dxa"/>
            <w:vAlign w:val="center"/>
          </w:tcPr>
          <w:p>
            <w:pPr>
              <w:pStyle w:val="53"/>
              <w:spacing w:before="31" w:after="31"/>
              <w:ind w:firstLine="0" w:firstLineChars="0"/>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0.15</w:t>
            </w:r>
          </w:p>
        </w:tc>
        <w:tc>
          <w:tcPr>
            <w:tcW w:w="1021" w:type="dxa"/>
            <w:vAlign w:val="center"/>
          </w:tcPr>
          <w:p>
            <w:pPr>
              <w:pStyle w:val="53"/>
              <w:spacing w:before="31" w:after="31"/>
              <w:ind w:firstLine="0" w:firstLineChars="0"/>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0.90</w:t>
            </w:r>
          </w:p>
        </w:tc>
        <w:tc>
          <w:tcPr>
            <w:tcW w:w="1772" w:type="dxa"/>
            <w:vAlign w:val="center"/>
          </w:tcPr>
          <w:p>
            <w:pPr>
              <w:pStyle w:val="53"/>
              <w:spacing w:before="31" w:after="31"/>
              <w:ind w:firstLine="0" w:firstLineChars="0"/>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 xml:space="preserve">480.20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4" w:hRule="atLeast"/>
          <w:jc w:val="center"/>
        </w:trPr>
        <w:tc>
          <w:tcPr>
            <w:tcW w:w="815" w:type="dxa"/>
            <w:vAlign w:val="center"/>
          </w:tcPr>
          <w:p>
            <w:pPr>
              <w:pStyle w:val="53"/>
              <w:spacing w:before="31" w:after="31"/>
              <w:ind w:firstLine="0" w:firstLineChars="0"/>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4</w:t>
            </w:r>
          </w:p>
        </w:tc>
        <w:tc>
          <w:tcPr>
            <w:tcW w:w="1645" w:type="dxa"/>
            <w:vAlign w:val="center"/>
          </w:tcPr>
          <w:p>
            <w:pPr>
              <w:pStyle w:val="53"/>
              <w:spacing w:before="31" w:after="31"/>
              <w:ind w:firstLine="0" w:firstLineChars="0"/>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第三分区</w:t>
            </w:r>
          </w:p>
        </w:tc>
        <w:tc>
          <w:tcPr>
            <w:tcW w:w="1190" w:type="dxa"/>
            <w:vAlign w:val="center"/>
          </w:tcPr>
          <w:p>
            <w:pPr>
              <w:pStyle w:val="53"/>
              <w:spacing w:before="31" w:after="31"/>
              <w:ind w:firstLine="0" w:firstLineChars="0"/>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下沉绿地</w:t>
            </w:r>
          </w:p>
        </w:tc>
        <w:tc>
          <w:tcPr>
            <w:tcW w:w="1134" w:type="dxa"/>
            <w:vAlign w:val="center"/>
          </w:tcPr>
          <w:p>
            <w:pPr>
              <w:pStyle w:val="53"/>
              <w:spacing w:before="31" w:after="31"/>
              <w:ind w:firstLine="0" w:firstLineChars="0"/>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 xml:space="preserve">1380 </w:t>
            </w:r>
          </w:p>
        </w:tc>
        <w:tc>
          <w:tcPr>
            <w:tcW w:w="1134" w:type="dxa"/>
            <w:vAlign w:val="center"/>
          </w:tcPr>
          <w:p>
            <w:pPr>
              <w:pStyle w:val="53"/>
              <w:spacing w:before="31" w:after="31"/>
              <w:ind w:firstLine="0" w:firstLineChars="0"/>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0.15</w:t>
            </w:r>
          </w:p>
        </w:tc>
        <w:tc>
          <w:tcPr>
            <w:tcW w:w="1021" w:type="dxa"/>
            <w:vAlign w:val="center"/>
          </w:tcPr>
          <w:p>
            <w:pPr>
              <w:pStyle w:val="53"/>
              <w:spacing w:before="31" w:after="31"/>
              <w:ind w:firstLine="0" w:firstLineChars="0"/>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0.90</w:t>
            </w:r>
          </w:p>
        </w:tc>
        <w:tc>
          <w:tcPr>
            <w:tcW w:w="1772" w:type="dxa"/>
            <w:vAlign w:val="center"/>
          </w:tcPr>
          <w:p>
            <w:pPr>
              <w:pStyle w:val="53"/>
              <w:spacing w:before="31" w:after="31"/>
              <w:ind w:firstLine="0" w:firstLineChars="0"/>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 xml:space="preserve">186.30 </w:t>
            </w:r>
          </w:p>
        </w:tc>
      </w:tr>
    </w:tbl>
    <w:p>
      <w:pPr>
        <w:keepNext w:val="0"/>
        <w:keepLines w:val="0"/>
        <w:pageBreakBefore w:val="0"/>
        <w:widowControl w:val="0"/>
        <w:kinsoku/>
        <w:wordWrap/>
        <w:overflowPunct/>
        <w:topLinePunct w:val="0"/>
        <w:autoSpaceDE w:val="0"/>
        <w:autoSpaceDN w:val="0"/>
        <w:bidi w:val="0"/>
        <w:adjustRightInd w:val="0"/>
        <w:snapToGrid/>
        <w:spacing w:before="156" w:after="156" w:line="204" w:lineRule="auto"/>
        <w:ind w:firstLine="420"/>
        <w:textAlignment w:val="auto"/>
        <w:rPr>
          <w:rFonts w:hint="default" w:hAnsi="宋体" w:cs="宋体"/>
          <w:color w:val="auto"/>
          <w:sz w:val="21"/>
          <w:highlight w:val="none"/>
          <w:lang w:val="en-US" w:eastAsia="zh-CN"/>
        </w:rPr>
      </w:pPr>
      <w:r>
        <w:rPr>
          <w:rFonts w:hint="eastAsia" w:hAnsi="宋体" w:cs="宋体"/>
          <w:color w:val="auto"/>
          <w:sz w:val="21"/>
          <w:highlight w:val="none"/>
        </w:rPr>
        <w:t>注</w:t>
      </w:r>
      <w:r>
        <w:rPr>
          <w:rFonts w:hAnsi="宋体" w:cs="宋体"/>
          <w:color w:val="auto"/>
          <w:sz w:val="21"/>
          <w:highlight w:val="none"/>
        </w:rPr>
        <w:t>：</w:t>
      </w:r>
      <w:r>
        <w:rPr>
          <w:rFonts w:hint="eastAsia" w:hAnsi="宋体" w:cs="宋体"/>
          <w:color w:val="auto"/>
          <w:sz w:val="21"/>
          <w:highlight w:val="none"/>
          <w:lang w:val="en-US" w:eastAsia="zh-CN"/>
        </w:rPr>
        <w:t>1、下沉绿地设施设计调蓄容积=下凹绿地面积*调蓄深度*折减系数；</w:t>
      </w:r>
    </w:p>
    <w:p>
      <w:pPr>
        <w:keepNext w:val="0"/>
        <w:keepLines w:val="0"/>
        <w:pageBreakBefore w:val="0"/>
        <w:widowControl w:val="0"/>
        <w:numPr>
          <w:ilvl w:val="0"/>
          <w:numId w:val="3"/>
        </w:numPr>
        <w:kinsoku/>
        <w:wordWrap/>
        <w:overflowPunct/>
        <w:topLinePunct w:val="0"/>
        <w:autoSpaceDE w:val="0"/>
        <w:autoSpaceDN w:val="0"/>
        <w:bidi w:val="0"/>
        <w:adjustRightInd w:val="0"/>
        <w:snapToGrid/>
        <w:spacing w:before="156" w:after="156" w:line="204" w:lineRule="auto"/>
        <w:ind w:firstLine="840" w:firstLineChars="400"/>
        <w:textAlignment w:val="auto"/>
        <w:rPr>
          <w:rFonts w:hint="eastAsia" w:hAnsi="宋体" w:cs="宋体"/>
          <w:color w:val="auto"/>
          <w:sz w:val="21"/>
          <w:highlight w:val="none"/>
        </w:rPr>
      </w:pPr>
      <w:r>
        <w:rPr>
          <w:rFonts w:hint="eastAsia" w:hAnsi="宋体" w:cs="宋体"/>
          <w:color w:val="auto"/>
          <w:sz w:val="21"/>
          <w:highlight w:val="none"/>
        </w:rPr>
        <w:t>考虑实际施工下沉式绿地存在放坡及堆土情况，本项目计算下沉绿地设计调蓄容积时按0.</w:t>
      </w:r>
      <w:r>
        <w:rPr>
          <w:rFonts w:hint="eastAsia" w:hAnsi="宋体" w:cs="宋体"/>
          <w:color w:val="auto"/>
          <w:sz w:val="21"/>
          <w:highlight w:val="none"/>
          <w:lang w:val="en-US" w:eastAsia="zh-CN"/>
        </w:rPr>
        <w:t>90</w:t>
      </w:r>
      <w:r>
        <w:rPr>
          <w:rFonts w:hint="eastAsia" w:hAnsi="宋体" w:cs="宋体"/>
          <w:color w:val="auto"/>
          <w:sz w:val="21"/>
          <w:highlight w:val="none"/>
        </w:rPr>
        <w:t>倍进行折算。</w:t>
      </w:r>
    </w:p>
    <w:p>
      <w:pPr>
        <w:spacing w:before="156" w:after="156" w:line="360" w:lineRule="auto"/>
        <w:ind w:firstLine="480"/>
        <w:rPr>
          <w:rFonts w:hint="eastAsia" w:hAnsi="宋体" w:cs="宋体"/>
          <w:color w:val="auto"/>
          <w:highlight w:val="none"/>
          <w:lang w:val="en-US" w:eastAsia="zh-CN"/>
        </w:rPr>
      </w:pPr>
      <w:bookmarkStart w:id="54" w:name="_Toc1329"/>
      <w:bookmarkStart w:id="55" w:name="_Toc16989"/>
      <w:r>
        <w:rPr>
          <w:rFonts w:hint="eastAsia" w:hAnsi="宋体" w:cs="宋体"/>
          <w:color w:val="auto"/>
          <w:highlight w:val="none"/>
        </w:rPr>
        <w:t>经汇总统计，本项目</w:t>
      </w:r>
      <w:r>
        <w:rPr>
          <w:rFonts w:hint="eastAsia" w:hAnsi="宋体" w:cs="宋体"/>
          <w:color w:val="auto"/>
          <w:highlight w:val="none"/>
          <w:lang w:val="en-US" w:eastAsia="zh-CN"/>
        </w:rPr>
        <w:t>总地块</w:t>
      </w:r>
      <w:r>
        <w:rPr>
          <w:rFonts w:hint="eastAsia" w:hAnsi="宋体" w:cs="宋体"/>
          <w:color w:val="auto"/>
          <w:highlight w:val="none"/>
        </w:rPr>
        <w:t>实际雨水总调蓄容积达到</w:t>
      </w:r>
      <w:r>
        <w:rPr>
          <w:rFonts w:hint="eastAsia"/>
          <w:color w:val="auto"/>
          <w:highlight w:val="none"/>
          <w:lang w:val="en-US" w:eastAsia="zh-CN"/>
        </w:rPr>
        <w:t>1347.17</w:t>
      </w:r>
      <w:r>
        <w:rPr>
          <w:rFonts w:hint="eastAsia" w:hAnsi="宋体" w:cs="宋体"/>
          <w:color w:val="auto"/>
          <w:highlight w:val="none"/>
        </w:rPr>
        <w:t>m³</w:t>
      </w:r>
      <w:r>
        <w:rPr>
          <w:rFonts w:hint="eastAsia" w:hAnsi="宋体" w:cs="宋体"/>
          <w:color w:val="auto"/>
          <w:highlight w:val="none"/>
          <w:lang w:eastAsia="zh-CN"/>
        </w:rPr>
        <w:t>，</w:t>
      </w:r>
      <w:r>
        <w:rPr>
          <w:rFonts w:hint="eastAsia" w:hAnsi="宋体" w:cs="宋体"/>
          <w:color w:val="auto"/>
          <w:highlight w:val="none"/>
          <w:lang w:val="en-US" w:eastAsia="zh-CN"/>
        </w:rPr>
        <w:t>大于场地设计调蓄容积1313.05m³，满足设计要求。</w:t>
      </w:r>
    </w:p>
    <w:p>
      <w:pPr>
        <w:pStyle w:val="4"/>
        <w:spacing w:before="156" w:after="156"/>
      </w:pPr>
      <w:r>
        <w:rPr>
          <w:rFonts w:hint="eastAsia"/>
        </w:rPr>
        <w:t>4.4、年径流总量控制率校核</w:t>
      </w:r>
      <w:bookmarkEnd w:id="54"/>
      <w:bookmarkEnd w:id="55"/>
    </w:p>
    <w:p>
      <w:pPr>
        <w:spacing w:before="156" w:after="156" w:line="360" w:lineRule="auto"/>
        <w:ind w:firstLine="480"/>
        <w:rPr>
          <w:rFonts w:hAnsi="宋体" w:cs="宋体"/>
        </w:rPr>
      </w:pPr>
      <w:r>
        <w:rPr>
          <w:rFonts w:hint="eastAsia" w:hAnsi="宋体" w:cs="宋体"/>
        </w:rPr>
        <w:t>根据雨水径流量设计调蓄容积计算公式：</w:t>
      </w:r>
      <w:r>
        <w:rPr>
          <w:rFonts w:hAnsi="宋体"/>
          <w:position w:val="-10"/>
        </w:rPr>
        <w:object>
          <v:shape id="_x0000_i1027" o:spt="75" type="#_x0000_t75" style="height:15.5pt;width:53.85pt;" o:ole="t" filled="f" o:preferrelative="t" stroked="f" coordsize="21600,21600">
            <v:path/>
            <v:fill on="f" focussize="0,0"/>
            <v:stroke on="f" joinstyle="miter"/>
            <v:imagedata r:id="rId26" o:title=""/>
            <o:lock v:ext="edit" aspectratio="t"/>
            <w10:wrap type="none"/>
            <w10:anchorlock/>
          </v:shape>
          <o:OLEObject Type="Embed" ProgID="Equation.3" ShapeID="_x0000_i1027" DrawAspect="Content" ObjectID="_1468075727" r:id="rId25">
            <o:LockedField>false</o:LockedField>
          </o:OLEObject>
        </w:object>
      </w:r>
      <w:r>
        <w:rPr>
          <w:rFonts w:hint="eastAsia" w:hAnsi="宋体" w:cs="宋体"/>
        </w:rPr>
        <w:t>，按本项目各类设施的调蓄水量可反推本项目理论径流控制率。</w:t>
      </w:r>
    </w:p>
    <w:p>
      <w:pPr>
        <w:spacing w:before="156" w:after="156" w:line="360" w:lineRule="auto"/>
        <w:ind w:firstLine="480"/>
        <w:rPr>
          <w:rFonts w:hAnsi="宋体" w:cs="宋体"/>
        </w:rPr>
      </w:pPr>
      <w:r>
        <w:rPr>
          <w:rFonts w:hint="eastAsia" w:hAnsi="宋体" w:cs="宋体"/>
        </w:rPr>
        <w:t>实际可控制设计降雨量</w:t>
      </w:r>
      <w:r>
        <w:rPr>
          <w:rFonts w:hAnsi="宋体"/>
          <w:position w:val="-10"/>
        </w:rPr>
        <w:object>
          <v:shape id="_x0000_i1028" o:spt="75" type="#_x0000_t75" style="height:15.5pt;width:70pt;" o:ole="t" filled="f" o:preferrelative="t" stroked="f" coordsize="21600,21600">
            <v:path/>
            <v:fill on="f" focussize="0,0"/>
            <v:stroke on="f" joinstyle="miter"/>
            <v:imagedata r:id="rId28" o:title=""/>
            <o:lock v:ext="edit" aspectratio="t"/>
            <w10:wrap type="none"/>
            <w10:anchorlock/>
          </v:shape>
          <o:OLEObject Type="Embed" ProgID="Equation.3" ShapeID="_x0000_i1028" DrawAspect="Content" ObjectID="_1468075728" r:id="rId27">
            <o:LockedField>false</o:LockedField>
          </o:OLEObject>
        </w:object>
      </w:r>
    </w:p>
    <w:p>
      <w:pPr>
        <w:spacing w:before="156" w:after="156" w:line="360" w:lineRule="auto"/>
        <w:ind w:firstLine="480"/>
        <w:rPr>
          <w:rFonts w:hAnsi="宋体" w:cs="宋体"/>
        </w:rPr>
      </w:pPr>
      <w:r>
        <w:rPr>
          <w:rFonts w:hint="eastAsia" w:hAnsi="宋体" w:cs="宋体"/>
        </w:rPr>
        <w:t>式中：V--设计调蓄容积，m³；</w:t>
      </w:r>
    </w:p>
    <w:p>
      <w:pPr>
        <w:spacing w:before="156" w:after="156" w:line="360" w:lineRule="auto"/>
        <w:ind w:left="480" w:leftChars="200" w:firstLine="480"/>
        <w:rPr>
          <w:rFonts w:hint="default" w:hAnsi="宋体" w:eastAsia="宋体" w:cs="宋体"/>
          <w:lang w:val="en-US" w:eastAsia="zh-CN"/>
        </w:rPr>
      </w:pPr>
      <w:r>
        <w:rPr>
          <w:szCs w:val="22"/>
        </w:rPr>
        <w:drawing>
          <wp:inline distT="0" distB="0" distL="114300" distR="114300">
            <wp:extent cx="133350" cy="161925"/>
            <wp:effectExtent l="0" t="0" r="0" b="7620"/>
            <wp:docPr id="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6"/>
                    <pic:cNvPicPr>
                      <a:picLocks noChangeAspect="1"/>
                    </pic:cNvPicPr>
                  </pic:nvPicPr>
                  <pic:blipFill>
                    <a:blip r:embed="rId19"/>
                    <a:stretch>
                      <a:fillRect/>
                    </a:stretch>
                  </pic:blipFill>
                  <pic:spPr>
                    <a:xfrm>
                      <a:off x="0" y="0"/>
                      <a:ext cx="133350" cy="161925"/>
                    </a:xfrm>
                    <a:prstGeom prst="rect">
                      <a:avLst/>
                    </a:prstGeom>
                    <a:noFill/>
                    <a:ln w="9525">
                      <a:noFill/>
                    </a:ln>
                  </pic:spPr>
                </pic:pic>
              </a:graphicData>
            </a:graphic>
          </wp:inline>
        </w:drawing>
      </w:r>
      <w:r>
        <w:rPr>
          <w:rFonts w:hint="eastAsia" w:hAnsi="宋体" w:cs="宋体"/>
        </w:rPr>
        <w:t>--综合雨量径流系数；</w:t>
      </w:r>
    </w:p>
    <w:p>
      <w:pPr>
        <w:spacing w:before="156" w:after="156" w:line="360" w:lineRule="auto"/>
        <w:ind w:firstLine="480"/>
        <w:rPr>
          <w:rFonts w:hint="default" w:hAnsi="宋体" w:eastAsia="宋体" w:cs="宋体"/>
          <w:lang w:val="en-US" w:eastAsia="zh-CN"/>
        </w:rPr>
      </w:pPr>
      <w:r>
        <w:rPr>
          <w:rFonts w:hint="eastAsia" w:hAnsi="宋体" w:cs="宋体"/>
        </w:rPr>
        <w:t xml:space="preserve">      h--设计降雨量，m</w:t>
      </w:r>
      <w:r>
        <w:rPr>
          <w:rFonts w:hint="eastAsia" w:hAnsi="宋体" w:cs="宋体"/>
          <w:lang w:val="en-US" w:eastAsia="zh-CN"/>
        </w:rPr>
        <w:t>m;</w:t>
      </w:r>
    </w:p>
    <w:p>
      <w:pPr>
        <w:spacing w:before="156" w:after="156" w:line="360" w:lineRule="auto"/>
        <w:ind w:firstLine="480"/>
        <w:rPr>
          <w:rFonts w:hAnsi="宋体" w:cs="宋体"/>
        </w:rPr>
      </w:pPr>
      <w:r>
        <w:rPr>
          <w:rFonts w:hint="eastAsia" w:hAnsi="宋体" w:cs="宋体"/>
        </w:rPr>
        <w:t xml:space="preserve">      F--汇水面积，ha；</w:t>
      </w:r>
    </w:p>
    <w:p>
      <w:pPr>
        <w:spacing w:before="156" w:after="156" w:line="360" w:lineRule="auto"/>
        <w:ind w:firstLine="480"/>
        <w:rPr>
          <w:rFonts w:hAnsi="宋体" w:cs="宋体"/>
        </w:rPr>
      </w:pPr>
      <w:r>
        <w:rPr>
          <w:rFonts w:hint="eastAsia" w:hAnsi="宋体" w:cs="宋体"/>
        </w:rPr>
        <w:t>计算出实际可在控制设计降雨量后，可查询</w:t>
      </w:r>
      <w:r>
        <w:rPr>
          <w:rFonts w:hint="eastAsia"/>
        </w:rPr>
        <w:t>《清远市中心城区海绵城市建设技术导则》</w:t>
      </w:r>
      <w:r>
        <w:rPr>
          <w:rFonts w:hint="eastAsia" w:hAnsi="宋体" w:cs="宋体"/>
        </w:rPr>
        <w:t>相关表格，根据内插法，可计算出对应的场地理论年径流总量控制率。</w:t>
      </w:r>
    </w:p>
    <w:p>
      <w:pPr>
        <w:autoSpaceDE/>
        <w:autoSpaceDN/>
        <w:adjustRightInd/>
        <w:spacing w:before="156" w:after="156" w:line="360" w:lineRule="auto"/>
        <w:ind w:firstLine="482"/>
        <w:jc w:val="center"/>
        <w:rPr>
          <w:rFonts w:hAnsi="宋体" w:cs="宋体"/>
          <w:b/>
          <w:bCs/>
        </w:rPr>
      </w:pPr>
      <w:r>
        <w:rPr>
          <w:rFonts w:hint="eastAsia" w:hAnsi="宋体" w:cs="宋体"/>
          <w:b/>
          <w:bCs/>
        </w:rPr>
        <w:t>表4-</w:t>
      </w:r>
      <w:r>
        <w:rPr>
          <w:rFonts w:hint="eastAsia" w:hAnsi="宋体" w:cs="宋体"/>
          <w:b/>
          <w:bCs/>
          <w:lang w:val="en-US" w:eastAsia="zh-CN"/>
        </w:rPr>
        <w:t>5</w:t>
      </w:r>
      <w:r>
        <w:rPr>
          <w:rFonts w:hint="eastAsia" w:hAnsi="宋体" w:cs="宋体"/>
          <w:b/>
          <w:bCs/>
        </w:rPr>
        <w:t xml:space="preserve">  年径流总量控制率对应设计降雨量</w:t>
      </w:r>
    </w:p>
    <w:p>
      <w:pPr>
        <w:spacing w:before="156" w:after="156" w:line="360" w:lineRule="auto"/>
        <w:ind w:firstLine="480"/>
        <w:rPr>
          <w:rFonts w:hint="eastAsia" w:hAnsi="宋体" w:cs="宋体"/>
        </w:rPr>
      </w:pPr>
      <w:r>
        <w:drawing>
          <wp:inline distT="0" distB="0" distL="114300" distR="114300">
            <wp:extent cx="5694045" cy="923925"/>
            <wp:effectExtent l="0" t="0" r="1905" b="9525"/>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7"/>
                    <pic:cNvPicPr>
                      <a:picLocks noChangeAspect="1"/>
                    </pic:cNvPicPr>
                  </pic:nvPicPr>
                  <pic:blipFill>
                    <a:blip r:embed="rId11"/>
                    <a:stretch>
                      <a:fillRect/>
                    </a:stretch>
                  </pic:blipFill>
                  <pic:spPr>
                    <a:xfrm>
                      <a:off x="0" y="0"/>
                      <a:ext cx="5694045" cy="923925"/>
                    </a:xfrm>
                    <a:prstGeom prst="rect">
                      <a:avLst/>
                    </a:prstGeom>
                    <a:noFill/>
                    <a:ln>
                      <a:noFill/>
                    </a:ln>
                  </pic:spPr>
                </pic:pic>
              </a:graphicData>
            </a:graphic>
          </wp:inline>
        </w:drawing>
      </w:r>
    </w:p>
    <w:p>
      <w:pPr>
        <w:spacing w:before="156" w:after="156" w:line="360" w:lineRule="auto"/>
        <w:ind w:firstLine="480"/>
        <w:rPr>
          <w:rFonts w:hAnsi="宋体" w:cs="宋体"/>
        </w:rPr>
      </w:pPr>
      <w:r>
        <w:rPr>
          <w:rFonts w:hint="eastAsia" w:hAnsi="宋体" w:cs="宋体"/>
        </w:rPr>
        <w:t>注：数据摘自《</w:t>
      </w:r>
      <w:r>
        <w:rPr>
          <w:rFonts w:hint="eastAsia"/>
        </w:rPr>
        <w:t>清远市中心城区海绵城市建设技术导则</w:t>
      </w:r>
      <w:r>
        <w:rPr>
          <w:rFonts w:hint="eastAsia" w:hAnsi="宋体" w:cs="宋体"/>
        </w:rPr>
        <w:t>》。</w:t>
      </w:r>
    </w:p>
    <w:p>
      <w:pPr>
        <w:spacing w:before="156" w:after="156" w:line="360" w:lineRule="auto"/>
        <w:ind w:firstLine="480"/>
        <w:rPr>
          <w:rFonts w:hint="eastAsia" w:hAnsi="宋体" w:cs="宋体"/>
        </w:rPr>
      </w:pPr>
      <w:r>
        <w:rPr>
          <w:rFonts w:hint="eastAsia" w:hAnsi="宋体" w:cs="宋体"/>
        </w:rPr>
        <w:t>本项目各汇水分区实际年径流总量控制率计算入下表所示：</w:t>
      </w:r>
    </w:p>
    <w:p>
      <w:pPr>
        <w:autoSpaceDE/>
        <w:autoSpaceDN/>
        <w:adjustRightInd/>
        <w:spacing w:before="156" w:after="156" w:line="360" w:lineRule="auto"/>
        <w:ind w:firstLine="482"/>
        <w:jc w:val="center"/>
        <w:rPr>
          <w:rFonts w:hAnsi="宋体" w:cs="宋体"/>
          <w:b/>
          <w:bCs/>
        </w:rPr>
      </w:pPr>
      <w:r>
        <w:rPr>
          <w:rFonts w:hint="eastAsia" w:hAnsi="宋体" w:cs="宋体"/>
          <w:b/>
          <w:bCs/>
        </w:rPr>
        <w:t>表4-</w:t>
      </w:r>
      <w:r>
        <w:rPr>
          <w:rFonts w:hint="eastAsia" w:hAnsi="宋体" w:cs="宋体"/>
          <w:b/>
          <w:bCs/>
          <w:lang w:val="en-US" w:eastAsia="zh-CN"/>
        </w:rPr>
        <w:t>6</w:t>
      </w:r>
      <w:r>
        <w:rPr>
          <w:rFonts w:hint="eastAsia" w:hAnsi="宋体" w:cs="宋体"/>
          <w:b/>
          <w:bCs/>
        </w:rPr>
        <w:t xml:space="preserve">  各汇水分区实际年径流总量控制率计算</w:t>
      </w:r>
    </w:p>
    <w:tbl>
      <w:tblPr>
        <w:tblStyle w:val="155"/>
        <w:tblW w:w="951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14"/>
        <w:gridCol w:w="1769"/>
        <w:gridCol w:w="1541"/>
        <w:gridCol w:w="1350"/>
        <w:gridCol w:w="1107"/>
        <w:gridCol w:w="1462"/>
        <w:gridCol w:w="16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614" w:type="dxa"/>
            <w:vAlign w:val="center"/>
          </w:tcPr>
          <w:p>
            <w:pPr>
              <w:pStyle w:val="53"/>
              <w:spacing w:before="31" w:after="31"/>
              <w:rPr>
                <w:rFonts w:ascii="宋体" w:hAnsi="宋体" w:cs="宋体"/>
                <w:szCs w:val="21"/>
              </w:rPr>
            </w:pPr>
            <w:r>
              <w:rPr>
                <w:rFonts w:hint="eastAsia" w:ascii="宋体" w:hAnsi="宋体" w:cs="宋体"/>
                <w:szCs w:val="21"/>
              </w:rPr>
              <w:t>序号</w:t>
            </w:r>
          </w:p>
        </w:tc>
        <w:tc>
          <w:tcPr>
            <w:tcW w:w="1769" w:type="dxa"/>
            <w:vAlign w:val="center"/>
          </w:tcPr>
          <w:p>
            <w:pPr>
              <w:pStyle w:val="53"/>
              <w:spacing w:before="31" w:after="31"/>
              <w:rPr>
                <w:rFonts w:ascii="宋体" w:hAnsi="宋体" w:cs="宋体"/>
                <w:szCs w:val="21"/>
              </w:rPr>
            </w:pPr>
            <w:r>
              <w:rPr>
                <w:rFonts w:hint="eastAsia" w:ascii="宋体" w:hAnsi="宋体" w:cs="宋体"/>
                <w:szCs w:val="21"/>
              </w:rPr>
              <w:t>汇水分区</w:t>
            </w:r>
          </w:p>
        </w:tc>
        <w:tc>
          <w:tcPr>
            <w:tcW w:w="1541" w:type="dxa"/>
            <w:vAlign w:val="center"/>
          </w:tcPr>
          <w:p>
            <w:pPr>
              <w:pStyle w:val="53"/>
              <w:spacing w:before="31" w:after="31"/>
              <w:rPr>
                <w:rFonts w:ascii="宋体" w:hAnsi="宋体" w:cs="宋体"/>
                <w:szCs w:val="21"/>
              </w:rPr>
            </w:pPr>
            <w:r>
              <w:rPr>
                <w:rFonts w:hint="eastAsia" w:ascii="宋体" w:hAnsi="宋体" w:cs="宋体"/>
                <w:szCs w:val="21"/>
              </w:rPr>
              <w:t>建设用地面积F（㎡）</w:t>
            </w:r>
          </w:p>
        </w:tc>
        <w:tc>
          <w:tcPr>
            <w:tcW w:w="1350" w:type="dxa"/>
            <w:vAlign w:val="center"/>
          </w:tcPr>
          <w:p>
            <w:pPr>
              <w:pStyle w:val="53"/>
              <w:spacing w:before="31" w:after="31"/>
              <w:rPr>
                <w:rFonts w:ascii="宋体" w:hAnsi="宋体" w:cs="宋体"/>
                <w:szCs w:val="21"/>
              </w:rPr>
            </w:pPr>
            <w:r>
              <w:rPr>
                <w:rFonts w:hint="eastAsia" w:ascii="宋体" w:hAnsi="宋体" w:cs="宋体"/>
                <w:szCs w:val="21"/>
              </w:rPr>
              <w:t>实际有效调蓄容量（m³)</w:t>
            </w:r>
          </w:p>
        </w:tc>
        <w:tc>
          <w:tcPr>
            <w:tcW w:w="1107" w:type="dxa"/>
            <w:vAlign w:val="center"/>
          </w:tcPr>
          <w:p>
            <w:pPr>
              <w:pStyle w:val="53"/>
              <w:spacing w:before="31" w:after="31"/>
              <w:rPr>
                <w:rFonts w:ascii="宋体" w:hAnsi="宋体" w:cs="宋体"/>
                <w:szCs w:val="21"/>
              </w:rPr>
            </w:pPr>
            <w:r>
              <w:rPr>
                <w:rFonts w:hint="eastAsia" w:ascii="宋体" w:hAnsi="宋体" w:cs="宋体"/>
                <w:szCs w:val="21"/>
              </w:rPr>
              <w:t>径流系数ψ</w:t>
            </w:r>
          </w:p>
        </w:tc>
        <w:tc>
          <w:tcPr>
            <w:tcW w:w="1462" w:type="dxa"/>
            <w:vAlign w:val="center"/>
          </w:tcPr>
          <w:p>
            <w:pPr>
              <w:pStyle w:val="53"/>
              <w:spacing w:before="31" w:after="31"/>
              <w:rPr>
                <w:rFonts w:ascii="宋体" w:hAnsi="宋体" w:cs="宋体"/>
                <w:szCs w:val="21"/>
              </w:rPr>
            </w:pPr>
            <w:r>
              <w:rPr>
                <w:rFonts w:hint="eastAsia" w:ascii="宋体" w:hAnsi="宋体" w:cs="宋体"/>
                <w:szCs w:val="21"/>
              </w:rPr>
              <w:t>可控制设计降雨量（mm)</w:t>
            </w:r>
          </w:p>
        </w:tc>
        <w:tc>
          <w:tcPr>
            <w:tcW w:w="1674" w:type="dxa"/>
            <w:vAlign w:val="center"/>
          </w:tcPr>
          <w:p>
            <w:pPr>
              <w:pStyle w:val="53"/>
              <w:spacing w:before="31" w:after="31"/>
              <w:rPr>
                <w:rFonts w:ascii="宋体" w:hAnsi="宋体" w:cs="宋体"/>
                <w:szCs w:val="21"/>
              </w:rPr>
            </w:pPr>
            <w:r>
              <w:rPr>
                <w:rFonts w:hint="eastAsia" w:ascii="宋体" w:hAnsi="宋体" w:cs="宋体"/>
                <w:szCs w:val="21"/>
              </w:rPr>
              <w:t>实际年径流</w:t>
            </w:r>
          </w:p>
          <w:p>
            <w:pPr>
              <w:pStyle w:val="53"/>
              <w:spacing w:before="31" w:after="31"/>
              <w:rPr>
                <w:rFonts w:ascii="宋体" w:hAnsi="宋体" w:cs="宋体"/>
                <w:szCs w:val="21"/>
              </w:rPr>
            </w:pPr>
            <w:r>
              <w:rPr>
                <w:rFonts w:hint="eastAsia" w:ascii="宋体" w:hAnsi="宋体" w:cs="宋体"/>
                <w:szCs w:val="21"/>
              </w:rPr>
              <w:t>总量控制率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2" w:hRule="atLeast"/>
          <w:jc w:val="center"/>
        </w:trPr>
        <w:tc>
          <w:tcPr>
            <w:tcW w:w="614" w:type="dxa"/>
            <w:vAlign w:val="center"/>
          </w:tcPr>
          <w:p>
            <w:pPr>
              <w:pStyle w:val="53"/>
              <w:spacing w:before="31" w:after="31"/>
              <w:rPr>
                <w:rFonts w:hint="eastAsia" w:ascii="宋体" w:hAnsi="宋体" w:eastAsia="宋体" w:cs="宋体"/>
                <w:szCs w:val="21"/>
              </w:rPr>
            </w:pPr>
            <w:r>
              <w:rPr>
                <w:rFonts w:hint="eastAsia" w:ascii="宋体" w:hAnsi="宋体" w:eastAsia="宋体" w:cs="宋体"/>
                <w:szCs w:val="21"/>
              </w:rPr>
              <w:t>1</w:t>
            </w:r>
          </w:p>
        </w:tc>
        <w:tc>
          <w:tcPr>
            <w:tcW w:w="1769" w:type="dxa"/>
            <w:vAlign w:val="center"/>
          </w:tcPr>
          <w:p>
            <w:pPr>
              <w:pStyle w:val="53"/>
              <w:spacing w:before="31" w:after="31"/>
              <w:rPr>
                <w:rFonts w:hint="eastAsia" w:ascii="宋体" w:hAnsi="宋体" w:eastAsia="宋体" w:cs="宋体"/>
                <w:szCs w:val="21"/>
              </w:rPr>
            </w:pPr>
            <w:r>
              <w:rPr>
                <w:rFonts w:hint="eastAsia" w:ascii="宋体" w:hAnsi="宋体" w:eastAsia="宋体" w:cs="宋体"/>
                <w:szCs w:val="21"/>
              </w:rPr>
              <w:t>总地块</w:t>
            </w:r>
          </w:p>
        </w:tc>
        <w:tc>
          <w:tcPr>
            <w:tcW w:w="1541" w:type="dxa"/>
            <w:vAlign w:val="center"/>
          </w:tcPr>
          <w:p>
            <w:pPr>
              <w:pStyle w:val="53"/>
              <w:spacing w:before="31" w:after="31"/>
              <w:rPr>
                <w:rFonts w:hint="default" w:ascii="宋体" w:hAnsi="宋体" w:eastAsia="宋体" w:cs="宋体"/>
                <w:szCs w:val="21"/>
                <w:lang w:val="en-US" w:eastAsia="zh-CN"/>
              </w:rPr>
            </w:pPr>
            <w:r>
              <w:rPr>
                <w:rFonts w:hint="eastAsia" w:ascii="宋体" w:hAnsi="宋体" w:eastAsia="宋体" w:cs="宋体"/>
                <w:szCs w:val="21"/>
                <w:lang w:val="en-US" w:eastAsia="zh-CN"/>
              </w:rPr>
              <w:t>82927</w:t>
            </w:r>
          </w:p>
        </w:tc>
        <w:tc>
          <w:tcPr>
            <w:tcW w:w="1350" w:type="dxa"/>
            <w:vAlign w:val="center"/>
          </w:tcPr>
          <w:p>
            <w:pPr>
              <w:pStyle w:val="53"/>
              <w:spacing w:before="31" w:after="31"/>
              <w:rPr>
                <w:rFonts w:hint="default" w:ascii="宋体" w:hAnsi="宋体" w:eastAsia="宋体" w:cs="宋体"/>
                <w:szCs w:val="21"/>
                <w:lang w:val="en-US" w:eastAsia="zh-CN"/>
              </w:rPr>
            </w:pPr>
            <w:r>
              <w:rPr>
                <w:rFonts w:hint="eastAsia" w:ascii="宋体" w:hAnsi="宋体" w:eastAsia="宋体" w:cs="宋体"/>
                <w:szCs w:val="21"/>
                <w:lang w:val="en-US" w:eastAsia="zh-CN"/>
              </w:rPr>
              <w:t xml:space="preserve">1347.17 </w:t>
            </w:r>
          </w:p>
        </w:tc>
        <w:tc>
          <w:tcPr>
            <w:tcW w:w="1107" w:type="dxa"/>
            <w:vAlign w:val="center"/>
          </w:tcPr>
          <w:p>
            <w:pPr>
              <w:pStyle w:val="53"/>
              <w:spacing w:before="31" w:after="31"/>
              <w:rPr>
                <w:rFonts w:hint="default" w:ascii="宋体" w:hAnsi="宋体" w:eastAsia="宋体" w:cs="宋体"/>
                <w:szCs w:val="21"/>
                <w:lang w:val="en-US" w:eastAsia="zh-CN"/>
              </w:rPr>
            </w:pPr>
            <w:r>
              <w:rPr>
                <w:rFonts w:hint="eastAsia" w:ascii="宋体" w:hAnsi="宋体" w:eastAsia="宋体" w:cs="宋体"/>
                <w:szCs w:val="21"/>
                <w:lang w:val="en-US" w:eastAsia="zh-CN"/>
              </w:rPr>
              <w:t xml:space="preserve">0.413 </w:t>
            </w:r>
          </w:p>
        </w:tc>
        <w:tc>
          <w:tcPr>
            <w:tcW w:w="1462" w:type="dxa"/>
            <w:vAlign w:val="center"/>
          </w:tcPr>
          <w:p>
            <w:pPr>
              <w:pStyle w:val="53"/>
              <w:spacing w:before="31" w:after="31"/>
              <w:rPr>
                <w:rFonts w:hint="default" w:ascii="宋体" w:hAnsi="宋体" w:eastAsia="宋体" w:cs="宋体"/>
                <w:szCs w:val="21"/>
                <w:lang w:val="en-US" w:eastAsia="zh-CN"/>
              </w:rPr>
            </w:pPr>
            <w:r>
              <w:rPr>
                <w:rFonts w:hint="eastAsia" w:ascii="宋体" w:hAnsi="宋体" w:eastAsia="宋体" w:cs="宋体"/>
                <w:szCs w:val="21"/>
                <w:lang w:val="en-US" w:eastAsia="zh-CN"/>
              </w:rPr>
              <w:t xml:space="preserve">39.29 </w:t>
            </w:r>
          </w:p>
        </w:tc>
        <w:tc>
          <w:tcPr>
            <w:tcW w:w="1674" w:type="dxa"/>
            <w:vAlign w:val="center"/>
          </w:tcPr>
          <w:p>
            <w:pPr>
              <w:pStyle w:val="53"/>
              <w:spacing w:before="31" w:after="31"/>
              <w:rPr>
                <w:rFonts w:hint="default" w:ascii="宋体" w:hAnsi="宋体" w:eastAsia="宋体" w:cs="宋体"/>
                <w:szCs w:val="21"/>
                <w:lang w:val="en-US" w:eastAsia="zh-CN"/>
              </w:rPr>
            </w:pPr>
            <w:r>
              <w:rPr>
                <w:rFonts w:hint="eastAsia" w:ascii="宋体" w:hAnsi="宋体" w:eastAsia="宋体" w:cs="宋体"/>
                <w:szCs w:val="21"/>
                <w:lang w:val="en-US" w:eastAsia="zh-CN"/>
              </w:rPr>
              <w:t>80.59%</w:t>
            </w:r>
          </w:p>
        </w:tc>
      </w:tr>
    </w:tbl>
    <w:p>
      <w:pPr>
        <w:spacing w:before="156" w:after="156" w:line="360" w:lineRule="auto"/>
        <w:ind w:firstLine="480"/>
        <w:rPr>
          <w:rFonts w:hAnsi="宋体" w:cs="宋体"/>
        </w:rPr>
      </w:pPr>
      <w:r>
        <w:rPr>
          <w:rFonts w:hint="eastAsia" w:hAnsi="宋体" w:cs="宋体"/>
        </w:rPr>
        <w:t>经核算，本项目总地块实际调蓄容积可达到</w:t>
      </w:r>
      <w:r>
        <w:rPr>
          <w:rFonts w:hint="eastAsia" w:hAnsi="宋体" w:cs="宋体"/>
          <w:lang w:val="en-US" w:eastAsia="zh-CN"/>
        </w:rPr>
        <w:t>1347.17</w:t>
      </w:r>
      <w:r>
        <w:rPr>
          <w:rFonts w:hint="eastAsia" w:hAnsi="宋体" w:cs="宋体"/>
        </w:rPr>
        <w:t>m³，实际可控制</w:t>
      </w:r>
      <w:r>
        <w:rPr>
          <w:rFonts w:hint="eastAsia" w:hAnsi="宋体" w:cs="宋体"/>
          <w:lang w:val="en-US" w:eastAsia="zh-CN"/>
        </w:rPr>
        <w:t>39.29</w:t>
      </w:r>
      <w:r>
        <w:rPr>
          <w:rFonts w:hint="eastAsia" w:hAnsi="宋体" w:cs="宋体"/>
        </w:rPr>
        <w:t>mm（24h）的设计降雨量，年径流总量控制率达到</w:t>
      </w:r>
      <w:r>
        <w:rPr>
          <w:rFonts w:hint="eastAsia" w:hAnsi="宋体" w:cs="宋体"/>
          <w:lang w:val="en-US" w:eastAsia="zh-CN"/>
        </w:rPr>
        <w:t>80.59</w:t>
      </w:r>
      <w:r>
        <w:rPr>
          <w:rFonts w:hint="eastAsia" w:hAnsi="宋体" w:cs="宋体"/>
        </w:rPr>
        <w:t>%，满足年径流总量控制率</w:t>
      </w:r>
      <w:r>
        <w:rPr>
          <w:rFonts w:hint="eastAsia" w:hAnsi="宋体" w:cs="宋体"/>
          <w:lang w:val="en-US" w:eastAsia="zh-CN"/>
        </w:rPr>
        <w:t>80</w:t>
      </w:r>
      <w:r>
        <w:rPr>
          <w:rFonts w:hint="eastAsia" w:hAnsi="宋体" w:cs="宋体"/>
        </w:rPr>
        <w:t>%的要求。</w:t>
      </w:r>
    </w:p>
    <w:p>
      <w:pPr>
        <w:pStyle w:val="4"/>
        <w:spacing w:before="156" w:after="156"/>
        <w:rPr>
          <w:rFonts w:hint="eastAsia"/>
          <w:color w:val="auto"/>
          <w:highlight w:val="none"/>
        </w:rPr>
      </w:pPr>
      <w:bookmarkStart w:id="56" w:name="_Toc5901"/>
      <w:bookmarkStart w:id="57" w:name="_Toc114"/>
      <w:bookmarkStart w:id="58" w:name="_Toc1733387"/>
      <w:r>
        <w:rPr>
          <w:rFonts w:hint="eastAsia"/>
        </w:rPr>
        <w:t>4.</w:t>
      </w:r>
      <w:r>
        <w:rPr>
          <w:rFonts w:hint="eastAsia"/>
          <w:lang w:val="en-US" w:eastAsia="zh-CN"/>
        </w:rPr>
        <w:t>5</w:t>
      </w:r>
      <w:r>
        <w:rPr>
          <w:rFonts w:hint="eastAsia"/>
        </w:rPr>
        <w:t>、</w:t>
      </w:r>
      <w:r>
        <w:rPr>
          <w:rFonts w:hint="eastAsia"/>
          <w:color w:val="auto"/>
          <w:highlight w:val="none"/>
        </w:rPr>
        <w:t>径流污染消减率核算</w:t>
      </w:r>
      <w:bookmarkEnd w:id="56"/>
    </w:p>
    <w:p>
      <w:pPr>
        <w:spacing w:before="156" w:after="156" w:line="360" w:lineRule="auto"/>
        <w:ind w:firstLine="480"/>
        <w:rPr>
          <w:rFonts w:hint="eastAsia" w:hAnsi="宋体" w:cs="宋体"/>
          <w:color w:val="auto"/>
          <w:highlight w:val="none"/>
        </w:rPr>
      </w:pPr>
      <w:r>
        <w:rPr>
          <w:rFonts w:hint="eastAsia" w:hAnsi="宋体" w:cs="宋体"/>
          <w:color w:val="auto"/>
          <w:highlight w:val="none"/>
        </w:rPr>
        <w:t>城市径流污染物中，SS（悬浮物）往往与其他污染物指标具有一定的相关性。因此，一般可采用SS作为径流污染物控制指标，低影响开发雨水系统的年SS总量去除率一般可达到40%-60%。，根据《海绵城市建设技术指南—低影响开发雨水系统构建》（试行）中表4-1，可查询各个措施的削减率，年SS（悬浮物）总量去除率可用下述方法进行计算：</w:t>
      </w:r>
    </w:p>
    <w:p>
      <w:pPr>
        <w:autoSpaceDE/>
        <w:autoSpaceDN/>
        <w:adjustRightInd/>
        <w:spacing w:before="156" w:after="156" w:line="360" w:lineRule="auto"/>
        <w:ind w:firstLine="482"/>
        <w:jc w:val="center"/>
        <w:rPr>
          <w:rFonts w:hAnsi="宋体" w:cs="宋体"/>
          <w:b/>
          <w:bCs/>
          <w:color w:val="auto"/>
          <w:highlight w:val="none"/>
        </w:rPr>
      </w:pPr>
      <w:r>
        <w:rPr>
          <w:rFonts w:hint="eastAsia" w:hAnsi="宋体" w:cs="宋体"/>
          <w:b/>
          <w:bCs/>
          <w:color w:val="auto"/>
          <w:highlight w:val="none"/>
        </w:rPr>
        <w:t>表4-</w:t>
      </w:r>
      <w:r>
        <w:rPr>
          <w:rFonts w:hint="eastAsia" w:hAnsi="宋体" w:cs="宋体"/>
          <w:b/>
          <w:bCs/>
          <w:color w:val="auto"/>
          <w:highlight w:val="none"/>
          <w:lang w:val="en-US" w:eastAsia="zh-CN"/>
        </w:rPr>
        <w:t xml:space="preserve">8 </w:t>
      </w:r>
      <w:r>
        <w:rPr>
          <w:rFonts w:hint="eastAsia" w:hAnsi="宋体" w:cs="宋体"/>
          <w:b/>
          <w:bCs/>
          <w:color w:val="auto"/>
          <w:highlight w:val="none"/>
        </w:rPr>
        <w:t xml:space="preserve"> 低影响开发设施的污染物去除率</w:t>
      </w:r>
    </w:p>
    <w:tbl>
      <w:tblPr>
        <w:tblStyle w:val="156"/>
        <w:tblW w:w="850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550"/>
        <w:gridCol w:w="49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exact"/>
          <w:jc w:val="center"/>
        </w:trPr>
        <w:tc>
          <w:tcPr>
            <w:tcW w:w="3550" w:type="dxa"/>
            <w:vAlign w:val="center"/>
          </w:tcPr>
          <w:p>
            <w:pPr>
              <w:pStyle w:val="53"/>
              <w:spacing w:before="31" w:after="31"/>
              <w:rPr>
                <w:color w:val="auto"/>
                <w:highlight w:val="none"/>
              </w:rPr>
            </w:pPr>
            <w:r>
              <w:rPr>
                <w:rFonts w:hint="eastAsia"/>
                <w:color w:val="auto"/>
                <w:highlight w:val="none"/>
              </w:rPr>
              <w:t>单项设施</w:t>
            </w:r>
          </w:p>
        </w:tc>
        <w:tc>
          <w:tcPr>
            <w:tcW w:w="4954" w:type="dxa"/>
            <w:vAlign w:val="center"/>
          </w:tcPr>
          <w:p>
            <w:pPr>
              <w:pStyle w:val="53"/>
              <w:spacing w:before="31" w:after="31"/>
              <w:rPr>
                <w:color w:val="auto"/>
                <w:highlight w:val="none"/>
              </w:rPr>
            </w:pPr>
            <w:r>
              <w:rPr>
                <w:rFonts w:hint="eastAsia"/>
                <w:color w:val="auto"/>
                <w:highlight w:val="none"/>
              </w:rPr>
              <w:t>污染物去除率（以SS计，%）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exact"/>
          <w:jc w:val="center"/>
        </w:trPr>
        <w:tc>
          <w:tcPr>
            <w:tcW w:w="3550" w:type="dxa"/>
            <w:vAlign w:val="center"/>
          </w:tcPr>
          <w:p>
            <w:pPr>
              <w:pStyle w:val="53"/>
              <w:spacing w:before="31" w:after="31"/>
              <w:rPr>
                <w:color w:val="auto"/>
                <w:highlight w:val="none"/>
              </w:rPr>
            </w:pPr>
            <w:r>
              <w:rPr>
                <w:rFonts w:hint="eastAsia"/>
                <w:color w:val="auto"/>
                <w:highlight w:val="none"/>
              </w:rPr>
              <w:t>透水砖铺装</w:t>
            </w:r>
          </w:p>
        </w:tc>
        <w:tc>
          <w:tcPr>
            <w:tcW w:w="4954" w:type="dxa"/>
            <w:vAlign w:val="center"/>
          </w:tcPr>
          <w:p>
            <w:pPr>
              <w:pStyle w:val="53"/>
              <w:spacing w:before="31" w:after="31"/>
              <w:rPr>
                <w:color w:val="auto"/>
                <w:highlight w:val="none"/>
              </w:rPr>
            </w:pPr>
            <w:r>
              <w:rPr>
                <w:rFonts w:hint="eastAsia"/>
                <w:color w:val="auto"/>
                <w:highlight w:val="none"/>
              </w:rPr>
              <w:t>80~90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exact"/>
          <w:jc w:val="center"/>
        </w:trPr>
        <w:tc>
          <w:tcPr>
            <w:tcW w:w="3550" w:type="dxa"/>
            <w:vAlign w:val="center"/>
          </w:tcPr>
          <w:p>
            <w:pPr>
              <w:pStyle w:val="53"/>
              <w:spacing w:before="31" w:after="31"/>
              <w:rPr>
                <w:color w:val="auto"/>
                <w:highlight w:val="none"/>
              </w:rPr>
            </w:pPr>
            <w:r>
              <w:rPr>
                <w:rFonts w:hint="eastAsia"/>
                <w:color w:val="auto"/>
                <w:highlight w:val="none"/>
              </w:rPr>
              <w:t>透水水泥混凝土</w:t>
            </w:r>
          </w:p>
        </w:tc>
        <w:tc>
          <w:tcPr>
            <w:tcW w:w="4954" w:type="dxa"/>
            <w:vAlign w:val="center"/>
          </w:tcPr>
          <w:p>
            <w:pPr>
              <w:pStyle w:val="53"/>
              <w:spacing w:before="31" w:after="31"/>
              <w:rPr>
                <w:color w:val="auto"/>
                <w:highlight w:val="none"/>
              </w:rPr>
            </w:pPr>
            <w:r>
              <w:rPr>
                <w:rFonts w:hint="eastAsia"/>
                <w:color w:val="auto"/>
                <w:highlight w:val="none"/>
              </w:rPr>
              <w:t>80~90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exact"/>
          <w:jc w:val="center"/>
        </w:trPr>
        <w:tc>
          <w:tcPr>
            <w:tcW w:w="3550" w:type="dxa"/>
            <w:vAlign w:val="center"/>
          </w:tcPr>
          <w:p>
            <w:pPr>
              <w:pStyle w:val="53"/>
              <w:spacing w:before="31" w:after="31"/>
              <w:rPr>
                <w:color w:val="auto"/>
                <w:highlight w:val="none"/>
              </w:rPr>
            </w:pPr>
            <w:r>
              <w:rPr>
                <w:rFonts w:hint="eastAsia"/>
                <w:color w:val="auto"/>
                <w:highlight w:val="none"/>
              </w:rPr>
              <w:t>透水沥青混凝土</w:t>
            </w:r>
          </w:p>
        </w:tc>
        <w:tc>
          <w:tcPr>
            <w:tcW w:w="4954" w:type="dxa"/>
            <w:vAlign w:val="center"/>
          </w:tcPr>
          <w:p>
            <w:pPr>
              <w:pStyle w:val="53"/>
              <w:spacing w:before="31" w:after="31"/>
              <w:rPr>
                <w:color w:val="auto"/>
                <w:highlight w:val="none"/>
              </w:rPr>
            </w:pPr>
            <w:r>
              <w:rPr>
                <w:rFonts w:hint="eastAsia"/>
                <w:color w:val="auto"/>
                <w:highlight w:val="none"/>
              </w:rPr>
              <w:t>80~90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exact"/>
          <w:jc w:val="center"/>
        </w:trPr>
        <w:tc>
          <w:tcPr>
            <w:tcW w:w="3550" w:type="dxa"/>
            <w:vAlign w:val="center"/>
          </w:tcPr>
          <w:p>
            <w:pPr>
              <w:pStyle w:val="53"/>
              <w:spacing w:before="31" w:after="31"/>
              <w:rPr>
                <w:color w:val="auto"/>
                <w:highlight w:val="none"/>
              </w:rPr>
            </w:pPr>
            <w:r>
              <w:rPr>
                <w:rFonts w:hint="eastAsia"/>
                <w:color w:val="auto"/>
                <w:highlight w:val="none"/>
              </w:rPr>
              <w:t>绿色屋顶</w:t>
            </w:r>
          </w:p>
        </w:tc>
        <w:tc>
          <w:tcPr>
            <w:tcW w:w="4954" w:type="dxa"/>
            <w:vAlign w:val="center"/>
          </w:tcPr>
          <w:p>
            <w:pPr>
              <w:pStyle w:val="53"/>
              <w:spacing w:before="31" w:after="31"/>
              <w:rPr>
                <w:color w:val="auto"/>
                <w:highlight w:val="none"/>
              </w:rPr>
            </w:pPr>
            <w:r>
              <w:rPr>
                <w:rFonts w:hint="eastAsia"/>
                <w:color w:val="auto"/>
                <w:highlight w:val="none"/>
              </w:rPr>
              <w:t>70~80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exact"/>
          <w:jc w:val="center"/>
        </w:trPr>
        <w:tc>
          <w:tcPr>
            <w:tcW w:w="3550" w:type="dxa"/>
            <w:vAlign w:val="center"/>
          </w:tcPr>
          <w:p>
            <w:pPr>
              <w:pStyle w:val="53"/>
              <w:spacing w:before="31" w:after="31"/>
              <w:rPr>
                <w:color w:val="auto"/>
                <w:highlight w:val="none"/>
              </w:rPr>
            </w:pPr>
            <w:r>
              <w:rPr>
                <w:rFonts w:hint="eastAsia"/>
                <w:color w:val="auto"/>
                <w:highlight w:val="none"/>
              </w:rPr>
              <w:t>复杂型生物滞留设施</w:t>
            </w:r>
          </w:p>
        </w:tc>
        <w:tc>
          <w:tcPr>
            <w:tcW w:w="4954" w:type="dxa"/>
            <w:vAlign w:val="center"/>
          </w:tcPr>
          <w:p>
            <w:pPr>
              <w:pStyle w:val="53"/>
              <w:spacing w:before="31" w:after="31"/>
              <w:rPr>
                <w:color w:val="auto"/>
                <w:highlight w:val="none"/>
              </w:rPr>
            </w:pPr>
            <w:r>
              <w:rPr>
                <w:rFonts w:hint="eastAsia"/>
                <w:color w:val="auto"/>
                <w:highlight w:val="none"/>
              </w:rPr>
              <w:t>70~95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exact"/>
          <w:jc w:val="center"/>
        </w:trPr>
        <w:tc>
          <w:tcPr>
            <w:tcW w:w="3550" w:type="dxa"/>
            <w:vAlign w:val="center"/>
          </w:tcPr>
          <w:p>
            <w:pPr>
              <w:pStyle w:val="53"/>
              <w:spacing w:before="31" w:after="31"/>
              <w:rPr>
                <w:color w:val="auto"/>
                <w:highlight w:val="none"/>
              </w:rPr>
            </w:pPr>
            <w:r>
              <w:rPr>
                <w:rFonts w:hint="eastAsia"/>
                <w:color w:val="auto"/>
                <w:highlight w:val="none"/>
              </w:rPr>
              <w:t>渗透塘</w:t>
            </w:r>
          </w:p>
        </w:tc>
        <w:tc>
          <w:tcPr>
            <w:tcW w:w="4954" w:type="dxa"/>
            <w:vAlign w:val="center"/>
          </w:tcPr>
          <w:p>
            <w:pPr>
              <w:pStyle w:val="53"/>
              <w:spacing w:before="31" w:after="31"/>
              <w:rPr>
                <w:color w:val="auto"/>
                <w:highlight w:val="none"/>
              </w:rPr>
            </w:pPr>
            <w:r>
              <w:rPr>
                <w:rFonts w:hint="eastAsia"/>
                <w:color w:val="auto"/>
                <w:highlight w:val="none"/>
              </w:rPr>
              <w:t>70~80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exact"/>
          <w:jc w:val="center"/>
        </w:trPr>
        <w:tc>
          <w:tcPr>
            <w:tcW w:w="3550" w:type="dxa"/>
            <w:vAlign w:val="center"/>
          </w:tcPr>
          <w:p>
            <w:pPr>
              <w:pStyle w:val="53"/>
              <w:spacing w:before="31" w:after="31"/>
              <w:rPr>
                <w:color w:val="auto"/>
                <w:highlight w:val="none"/>
              </w:rPr>
            </w:pPr>
            <w:r>
              <w:rPr>
                <w:rFonts w:hint="eastAsia"/>
                <w:color w:val="auto"/>
                <w:highlight w:val="none"/>
              </w:rPr>
              <w:t>湿塘</w:t>
            </w:r>
          </w:p>
        </w:tc>
        <w:tc>
          <w:tcPr>
            <w:tcW w:w="4954" w:type="dxa"/>
            <w:vAlign w:val="center"/>
          </w:tcPr>
          <w:p>
            <w:pPr>
              <w:pStyle w:val="53"/>
              <w:spacing w:before="31" w:after="31"/>
              <w:rPr>
                <w:color w:val="auto"/>
                <w:highlight w:val="none"/>
              </w:rPr>
            </w:pPr>
            <w:r>
              <w:rPr>
                <w:rFonts w:hint="eastAsia"/>
                <w:color w:val="auto"/>
                <w:highlight w:val="none"/>
              </w:rPr>
              <w:t>50~80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exact"/>
          <w:jc w:val="center"/>
        </w:trPr>
        <w:tc>
          <w:tcPr>
            <w:tcW w:w="3550" w:type="dxa"/>
            <w:vAlign w:val="center"/>
          </w:tcPr>
          <w:p>
            <w:pPr>
              <w:pStyle w:val="53"/>
              <w:spacing w:before="31" w:after="31"/>
              <w:rPr>
                <w:color w:val="auto"/>
                <w:highlight w:val="none"/>
              </w:rPr>
            </w:pPr>
            <w:r>
              <w:rPr>
                <w:rFonts w:hint="eastAsia"/>
                <w:color w:val="auto"/>
                <w:highlight w:val="none"/>
              </w:rPr>
              <w:t>雨水湿地</w:t>
            </w:r>
          </w:p>
        </w:tc>
        <w:tc>
          <w:tcPr>
            <w:tcW w:w="4954" w:type="dxa"/>
            <w:vAlign w:val="center"/>
          </w:tcPr>
          <w:p>
            <w:pPr>
              <w:pStyle w:val="53"/>
              <w:spacing w:before="31" w:after="31"/>
              <w:rPr>
                <w:color w:val="auto"/>
                <w:highlight w:val="none"/>
              </w:rPr>
            </w:pPr>
            <w:r>
              <w:rPr>
                <w:rFonts w:hint="eastAsia"/>
                <w:color w:val="auto"/>
                <w:highlight w:val="none"/>
              </w:rPr>
              <w:t>50~80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exact"/>
          <w:jc w:val="center"/>
        </w:trPr>
        <w:tc>
          <w:tcPr>
            <w:tcW w:w="3550" w:type="dxa"/>
            <w:vAlign w:val="center"/>
          </w:tcPr>
          <w:p>
            <w:pPr>
              <w:pStyle w:val="53"/>
              <w:spacing w:before="31" w:after="31"/>
              <w:rPr>
                <w:color w:val="auto"/>
                <w:highlight w:val="none"/>
              </w:rPr>
            </w:pPr>
            <w:r>
              <w:rPr>
                <w:rFonts w:hint="eastAsia"/>
                <w:color w:val="auto"/>
                <w:highlight w:val="none"/>
              </w:rPr>
              <w:t>蓄水池</w:t>
            </w:r>
          </w:p>
        </w:tc>
        <w:tc>
          <w:tcPr>
            <w:tcW w:w="4954" w:type="dxa"/>
            <w:vAlign w:val="center"/>
          </w:tcPr>
          <w:p>
            <w:pPr>
              <w:pStyle w:val="53"/>
              <w:spacing w:before="31" w:after="31"/>
              <w:rPr>
                <w:color w:val="auto"/>
                <w:highlight w:val="none"/>
              </w:rPr>
            </w:pPr>
            <w:r>
              <w:rPr>
                <w:rFonts w:hint="eastAsia"/>
                <w:color w:val="auto"/>
                <w:highlight w:val="none"/>
              </w:rPr>
              <w:t>80~90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exact"/>
          <w:jc w:val="center"/>
        </w:trPr>
        <w:tc>
          <w:tcPr>
            <w:tcW w:w="3550" w:type="dxa"/>
            <w:vAlign w:val="center"/>
          </w:tcPr>
          <w:p>
            <w:pPr>
              <w:pStyle w:val="53"/>
              <w:spacing w:before="31" w:after="31"/>
              <w:rPr>
                <w:color w:val="auto"/>
                <w:highlight w:val="none"/>
              </w:rPr>
            </w:pPr>
            <w:r>
              <w:rPr>
                <w:rFonts w:hint="eastAsia"/>
                <w:color w:val="auto"/>
                <w:highlight w:val="none"/>
              </w:rPr>
              <w:t>雨水罐</w:t>
            </w:r>
          </w:p>
        </w:tc>
        <w:tc>
          <w:tcPr>
            <w:tcW w:w="4954" w:type="dxa"/>
            <w:vAlign w:val="center"/>
          </w:tcPr>
          <w:p>
            <w:pPr>
              <w:pStyle w:val="53"/>
              <w:spacing w:before="31" w:after="31"/>
              <w:rPr>
                <w:color w:val="auto"/>
                <w:highlight w:val="none"/>
              </w:rPr>
            </w:pPr>
            <w:r>
              <w:rPr>
                <w:rFonts w:hint="eastAsia"/>
                <w:color w:val="auto"/>
                <w:highlight w:val="none"/>
              </w:rPr>
              <w:t>80~90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exact"/>
          <w:jc w:val="center"/>
        </w:trPr>
        <w:tc>
          <w:tcPr>
            <w:tcW w:w="3550" w:type="dxa"/>
            <w:vAlign w:val="center"/>
          </w:tcPr>
          <w:p>
            <w:pPr>
              <w:pStyle w:val="53"/>
              <w:spacing w:before="31" w:after="31"/>
              <w:rPr>
                <w:color w:val="auto"/>
                <w:highlight w:val="none"/>
              </w:rPr>
            </w:pPr>
            <w:r>
              <w:rPr>
                <w:rFonts w:hint="eastAsia"/>
                <w:color w:val="auto"/>
                <w:highlight w:val="none"/>
              </w:rPr>
              <w:t>转输型植草沟</w:t>
            </w:r>
          </w:p>
        </w:tc>
        <w:tc>
          <w:tcPr>
            <w:tcW w:w="4954" w:type="dxa"/>
            <w:vAlign w:val="center"/>
          </w:tcPr>
          <w:p>
            <w:pPr>
              <w:pStyle w:val="53"/>
              <w:spacing w:before="31" w:after="31"/>
              <w:rPr>
                <w:color w:val="auto"/>
                <w:highlight w:val="none"/>
              </w:rPr>
            </w:pPr>
            <w:r>
              <w:rPr>
                <w:rFonts w:hint="eastAsia"/>
                <w:color w:val="auto"/>
                <w:highlight w:val="none"/>
              </w:rPr>
              <w:t>35~90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exact"/>
          <w:jc w:val="center"/>
        </w:trPr>
        <w:tc>
          <w:tcPr>
            <w:tcW w:w="3550" w:type="dxa"/>
            <w:vAlign w:val="center"/>
          </w:tcPr>
          <w:p>
            <w:pPr>
              <w:pStyle w:val="53"/>
              <w:spacing w:before="31" w:after="31"/>
              <w:rPr>
                <w:color w:val="auto"/>
                <w:highlight w:val="none"/>
              </w:rPr>
            </w:pPr>
            <w:r>
              <w:rPr>
                <w:rFonts w:hint="eastAsia"/>
                <w:color w:val="auto"/>
                <w:highlight w:val="none"/>
              </w:rPr>
              <w:t>干式植草沟</w:t>
            </w:r>
          </w:p>
        </w:tc>
        <w:tc>
          <w:tcPr>
            <w:tcW w:w="4954" w:type="dxa"/>
            <w:vAlign w:val="center"/>
          </w:tcPr>
          <w:p>
            <w:pPr>
              <w:pStyle w:val="53"/>
              <w:spacing w:before="31" w:after="31"/>
              <w:rPr>
                <w:color w:val="auto"/>
                <w:highlight w:val="none"/>
              </w:rPr>
            </w:pPr>
            <w:r>
              <w:rPr>
                <w:rFonts w:hint="eastAsia"/>
                <w:color w:val="auto"/>
                <w:highlight w:val="none"/>
              </w:rPr>
              <w:t>35~90</w:t>
            </w:r>
          </w:p>
        </w:tc>
      </w:tr>
    </w:tbl>
    <w:p>
      <w:pPr>
        <w:spacing w:before="156" w:after="156" w:line="360" w:lineRule="auto"/>
        <w:ind w:firstLine="480"/>
        <w:rPr>
          <w:rFonts w:hAnsi="宋体" w:cs="宋体"/>
          <w:color w:val="auto"/>
          <w:highlight w:val="none"/>
        </w:rPr>
      </w:pPr>
      <w:r>
        <w:rPr>
          <w:rFonts w:hint="eastAsia" w:hAnsi="宋体" w:cs="宋体"/>
          <w:color w:val="auto"/>
          <w:highlight w:val="none"/>
        </w:rPr>
        <w:t>年SS（悬浮物）总量去除率=年径流总量控制率×低影响开发设施对SS的平均去除率；其中低影响开发设施对SS的平均去除率=∑｛（1-Ψi）Fi/∑[(1-Ψi) Fi]•单项设施去除率｝。</w:t>
      </w:r>
    </w:p>
    <w:p>
      <w:pPr>
        <w:spacing w:before="156" w:after="156" w:line="360" w:lineRule="auto"/>
        <w:ind w:firstLine="480"/>
        <w:rPr>
          <w:rFonts w:hAnsi="宋体" w:cs="宋体"/>
          <w:b/>
          <w:bCs/>
          <w:color w:val="auto"/>
          <w:highlight w:val="none"/>
        </w:rPr>
      </w:pPr>
      <w:r>
        <w:rPr>
          <w:rFonts w:hint="eastAsia" w:hAnsi="宋体" w:cs="宋体"/>
          <w:color w:val="auto"/>
          <w:highlight w:val="none"/>
        </w:rPr>
        <w:t>本项目低影响开发设施主要为</w:t>
      </w:r>
      <w:r>
        <w:rPr>
          <w:rFonts w:hint="eastAsia" w:hAnsi="宋体" w:cs="宋体"/>
          <w:color w:val="auto"/>
          <w:highlight w:val="none"/>
          <w:lang w:val="en-US" w:eastAsia="zh-CN"/>
        </w:rPr>
        <w:t>下沉绿地</w:t>
      </w:r>
      <w:r>
        <w:rPr>
          <w:rFonts w:hint="eastAsia" w:hAnsi="宋体" w:cs="宋体"/>
          <w:color w:val="auto"/>
          <w:highlight w:val="none"/>
        </w:rPr>
        <w:t>、透水铺装，根据上表，本项目的年SS总量去除率计算如下：</w:t>
      </w:r>
      <w:r>
        <w:rPr>
          <w:rFonts w:hint="eastAsia" w:hAnsi="宋体" w:cs="宋体"/>
          <w:color w:val="auto"/>
          <w:highlight w:val="none"/>
        </w:rPr>
        <w:br w:type="textWrapping"/>
      </w:r>
      <w:r>
        <w:rPr>
          <w:rFonts w:hint="eastAsia" w:hAnsi="宋体" w:cs="宋体"/>
          <w:color w:val="auto"/>
          <w:highlight w:val="none"/>
          <w:lang w:val="en-US" w:eastAsia="zh-CN"/>
        </w:rPr>
        <w:t xml:space="preserve">                     </w:t>
      </w:r>
      <w:r>
        <w:rPr>
          <w:rFonts w:hint="eastAsia" w:hAnsi="宋体" w:cs="宋体"/>
          <w:b/>
          <w:bCs/>
          <w:color w:val="auto"/>
          <w:highlight w:val="none"/>
        </w:rPr>
        <w:t>表4-</w:t>
      </w:r>
      <w:r>
        <w:rPr>
          <w:rFonts w:hint="eastAsia" w:hAnsi="宋体" w:cs="宋体"/>
          <w:b/>
          <w:bCs/>
          <w:color w:val="auto"/>
          <w:highlight w:val="none"/>
          <w:lang w:val="en-US" w:eastAsia="zh-CN"/>
        </w:rPr>
        <w:t>9</w:t>
      </w:r>
      <w:r>
        <w:rPr>
          <w:rFonts w:hint="eastAsia" w:hAnsi="宋体" w:cs="宋体"/>
          <w:b/>
          <w:bCs/>
          <w:color w:val="auto"/>
          <w:highlight w:val="none"/>
        </w:rPr>
        <w:t xml:space="preserve">  项目总地块年SS总量去除率计算</w:t>
      </w:r>
    </w:p>
    <w:tbl>
      <w:tblPr>
        <w:tblStyle w:val="157"/>
        <w:tblW w:w="91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3"/>
        <w:gridCol w:w="1077"/>
        <w:gridCol w:w="1137"/>
        <w:gridCol w:w="1284"/>
        <w:gridCol w:w="1356"/>
        <w:gridCol w:w="976"/>
        <w:gridCol w:w="1374"/>
        <w:gridCol w:w="12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683" w:type="dxa"/>
            <w:vAlign w:val="center"/>
          </w:tcPr>
          <w:p>
            <w:pPr>
              <w:pStyle w:val="53"/>
              <w:spacing w:before="31" w:after="31"/>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序号</w:t>
            </w:r>
          </w:p>
        </w:tc>
        <w:tc>
          <w:tcPr>
            <w:tcW w:w="1077" w:type="dxa"/>
            <w:vAlign w:val="center"/>
          </w:tcPr>
          <w:p>
            <w:pPr>
              <w:pStyle w:val="53"/>
              <w:spacing w:before="31" w:after="31"/>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汇水分区</w:t>
            </w:r>
          </w:p>
        </w:tc>
        <w:tc>
          <w:tcPr>
            <w:tcW w:w="1137" w:type="dxa"/>
            <w:vAlign w:val="center"/>
          </w:tcPr>
          <w:p>
            <w:pPr>
              <w:pStyle w:val="53"/>
              <w:spacing w:before="31" w:after="31"/>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海绵城市措施</w:t>
            </w:r>
          </w:p>
        </w:tc>
        <w:tc>
          <w:tcPr>
            <w:tcW w:w="1284" w:type="dxa"/>
            <w:vAlign w:val="center"/>
          </w:tcPr>
          <w:p>
            <w:pPr>
              <w:pStyle w:val="53"/>
              <w:spacing w:before="31" w:after="31"/>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规模</w:t>
            </w:r>
          </w:p>
          <w:p>
            <w:pPr>
              <w:pStyle w:val="53"/>
              <w:spacing w:before="31" w:after="31"/>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（m³/㎡）</w:t>
            </w:r>
          </w:p>
        </w:tc>
        <w:tc>
          <w:tcPr>
            <w:tcW w:w="1356" w:type="dxa"/>
            <w:vAlign w:val="center"/>
          </w:tcPr>
          <w:p>
            <w:pPr>
              <w:pStyle w:val="53"/>
              <w:spacing w:before="31" w:after="31"/>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单项污染物消减率</w:t>
            </w:r>
          </w:p>
        </w:tc>
        <w:tc>
          <w:tcPr>
            <w:tcW w:w="976" w:type="dxa"/>
            <w:vAlign w:val="center"/>
          </w:tcPr>
          <w:p>
            <w:pPr>
              <w:pStyle w:val="53"/>
              <w:spacing w:before="31" w:after="31"/>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平均</w:t>
            </w:r>
          </w:p>
          <w:p>
            <w:pPr>
              <w:pStyle w:val="53"/>
              <w:spacing w:before="31" w:after="31"/>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去除率</w:t>
            </w:r>
          </w:p>
        </w:tc>
        <w:tc>
          <w:tcPr>
            <w:tcW w:w="1374" w:type="dxa"/>
            <w:vAlign w:val="center"/>
          </w:tcPr>
          <w:p>
            <w:pPr>
              <w:pStyle w:val="53"/>
              <w:spacing w:before="31" w:after="31"/>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年径流总量控制率</w:t>
            </w:r>
          </w:p>
        </w:tc>
        <w:tc>
          <w:tcPr>
            <w:tcW w:w="1292" w:type="dxa"/>
            <w:vAlign w:val="center"/>
          </w:tcPr>
          <w:p>
            <w:pPr>
              <w:pStyle w:val="53"/>
              <w:spacing w:before="31" w:after="31"/>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年SS总量去除率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jc w:val="center"/>
        </w:trPr>
        <w:tc>
          <w:tcPr>
            <w:tcW w:w="683" w:type="dxa"/>
            <w:vMerge w:val="restart"/>
            <w:vAlign w:val="center"/>
          </w:tcPr>
          <w:p>
            <w:pPr>
              <w:pStyle w:val="53"/>
              <w:spacing w:before="31" w:after="31"/>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1</w:t>
            </w:r>
          </w:p>
        </w:tc>
        <w:tc>
          <w:tcPr>
            <w:tcW w:w="1077" w:type="dxa"/>
            <w:vMerge w:val="restart"/>
            <w:vAlign w:val="center"/>
          </w:tcPr>
          <w:p>
            <w:pPr>
              <w:pStyle w:val="53"/>
              <w:spacing w:before="31" w:after="31"/>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总地块</w:t>
            </w:r>
          </w:p>
        </w:tc>
        <w:tc>
          <w:tcPr>
            <w:tcW w:w="1137" w:type="dxa"/>
            <w:vAlign w:val="center"/>
          </w:tcPr>
          <w:p>
            <w:pPr>
              <w:pStyle w:val="53"/>
              <w:spacing w:before="31" w:after="31"/>
              <w:rPr>
                <w:rFonts w:hint="default"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下沉绿地</w:t>
            </w:r>
          </w:p>
        </w:tc>
        <w:tc>
          <w:tcPr>
            <w:tcW w:w="1284" w:type="dxa"/>
            <w:vAlign w:val="center"/>
          </w:tcPr>
          <w:p>
            <w:pPr>
              <w:pStyle w:val="53"/>
              <w:spacing w:before="31" w:after="31"/>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 xml:space="preserve">9979.00 </w:t>
            </w:r>
          </w:p>
        </w:tc>
        <w:tc>
          <w:tcPr>
            <w:tcW w:w="1356" w:type="dxa"/>
            <w:vAlign w:val="center"/>
          </w:tcPr>
          <w:p>
            <w:pPr>
              <w:pStyle w:val="53"/>
              <w:spacing w:before="31" w:after="31"/>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70%</w:t>
            </w:r>
          </w:p>
        </w:tc>
        <w:tc>
          <w:tcPr>
            <w:tcW w:w="976" w:type="dxa"/>
            <w:vMerge w:val="restart"/>
            <w:shd w:val="clear" w:color="auto" w:fill="auto"/>
            <w:vAlign w:val="center"/>
          </w:tcPr>
          <w:p>
            <w:pPr>
              <w:pStyle w:val="53"/>
              <w:spacing w:before="31" w:after="31"/>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75.17%</w:t>
            </w:r>
          </w:p>
        </w:tc>
        <w:tc>
          <w:tcPr>
            <w:tcW w:w="1374" w:type="dxa"/>
            <w:vMerge w:val="restart"/>
            <w:shd w:val="clear" w:color="auto" w:fill="auto"/>
            <w:vAlign w:val="center"/>
          </w:tcPr>
          <w:p>
            <w:pPr>
              <w:pStyle w:val="53"/>
              <w:spacing w:before="31" w:after="31"/>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80.59%</w:t>
            </w:r>
          </w:p>
        </w:tc>
        <w:tc>
          <w:tcPr>
            <w:tcW w:w="1292" w:type="dxa"/>
            <w:vMerge w:val="restart"/>
            <w:shd w:val="clear" w:color="auto" w:fill="auto"/>
            <w:vAlign w:val="center"/>
          </w:tcPr>
          <w:p>
            <w:pPr>
              <w:pStyle w:val="53"/>
              <w:spacing w:before="31" w:after="31"/>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60.58%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jc w:val="center"/>
        </w:trPr>
        <w:tc>
          <w:tcPr>
            <w:tcW w:w="683" w:type="dxa"/>
            <w:vMerge w:val="continue"/>
            <w:vAlign w:val="center"/>
          </w:tcPr>
          <w:p>
            <w:pPr>
              <w:pStyle w:val="53"/>
              <w:spacing w:before="31" w:after="31"/>
              <w:rPr>
                <w:rFonts w:hint="eastAsia" w:ascii="宋体" w:hAnsi="宋体" w:eastAsia="宋体" w:cs="宋体"/>
                <w:color w:val="auto"/>
                <w:sz w:val="21"/>
                <w:szCs w:val="21"/>
                <w:highlight w:val="none"/>
                <w:lang w:val="en-US" w:eastAsia="zh-CN"/>
              </w:rPr>
            </w:pPr>
          </w:p>
        </w:tc>
        <w:tc>
          <w:tcPr>
            <w:tcW w:w="1077" w:type="dxa"/>
            <w:vMerge w:val="continue"/>
            <w:vAlign w:val="center"/>
          </w:tcPr>
          <w:p>
            <w:pPr>
              <w:pStyle w:val="53"/>
              <w:spacing w:before="31" w:after="31"/>
              <w:rPr>
                <w:rFonts w:hint="eastAsia" w:ascii="宋体" w:hAnsi="宋体" w:eastAsia="宋体" w:cs="宋体"/>
                <w:color w:val="auto"/>
                <w:sz w:val="21"/>
                <w:szCs w:val="21"/>
                <w:highlight w:val="none"/>
                <w:lang w:val="en-US" w:eastAsia="zh-CN"/>
              </w:rPr>
            </w:pPr>
          </w:p>
        </w:tc>
        <w:tc>
          <w:tcPr>
            <w:tcW w:w="1137" w:type="dxa"/>
            <w:vAlign w:val="center"/>
          </w:tcPr>
          <w:p>
            <w:pPr>
              <w:pStyle w:val="53"/>
              <w:spacing w:before="31" w:after="31"/>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透水铺装</w:t>
            </w:r>
          </w:p>
        </w:tc>
        <w:tc>
          <w:tcPr>
            <w:tcW w:w="1284" w:type="dxa"/>
            <w:vAlign w:val="center"/>
          </w:tcPr>
          <w:p>
            <w:pPr>
              <w:pStyle w:val="53"/>
              <w:spacing w:before="31" w:after="31"/>
              <w:rPr>
                <w:rFonts w:hint="default"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 xml:space="preserve">10698.00 </w:t>
            </w:r>
          </w:p>
        </w:tc>
        <w:tc>
          <w:tcPr>
            <w:tcW w:w="1356" w:type="dxa"/>
            <w:vAlign w:val="center"/>
          </w:tcPr>
          <w:p>
            <w:pPr>
              <w:pStyle w:val="53"/>
              <w:spacing w:before="31" w:after="31"/>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80%</w:t>
            </w:r>
          </w:p>
        </w:tc>
        <w:tc>
          <w:tcPr>
            <w:tcW w:w="976" w:type="dxa"/>
            <w:vMerge w:val="continue"/>
            <w:shd w:val="clear" w:color="auto" w:fill="auto"/>
            <w:vAlign w:val="center"/>
          </w:tcPr>
          <w:p>
            <w:pPr>
              <w:pStyle w:val="53"/>
              <w:spacing w:before="31" w:after="31"/>
              <w:rPr>
                <w:rFonts w:hint="eastAsia" w:ascii="宋体" w:hAnsi="宋体" w:eastAsia="宋体" w:cs="宋体"/>
                <w:color w:val="auto"/>
                <w:sz w:val="21"/>
                <w:szCs w:val="21"/>
                <w:highlight w:val="none"/>
                <w:lang w:val="en-US" w:eastAsia="zh-CN"/>
              </w:rPr>
            </w:pPr>
          </w:p>
        </w:tc>
        <w:tc>
          <w:tcPr>
            <w:tcW w:w="1374" w:type="dxa"/>
            <w:vMerge w:val="continue"/>
            <w:shd w:val="clear" w:color="auto" w:fill="auto"/>
            <w:vAlign w:val="center"/>
          </w:tcPr>
          <w:p>
            <w:pPr>
              <w:pStyle w:val="53"/>
              <w:spacing w:before="31" w:after="31"/>
              <w:rPr>
                <w:rFonts w:hint="eastAsia" w:ascii="宋体" w:hAnsi="宋体" w:cs="宋体"/>
                <w:color w:val="auto"/>
                <w:sz w:val="21"/>
                <w:szCs w:val="21"/>
                <w:highlight w:val="none"/>
                <w:lang w:val="en-US" w:eastAsia="zh-CN"/>
              </w:rPr>
            </w:pPr>
          </w:p>
        </w:tc>
        <w:tc>
          <w:tcPr>
            <w:tcW w:w="1292" w:type="dxa"/>
            <w:vMerge w:val="continue"/>
            <w:shd w:val="clear" w:color="auto" w:fill="auto"/>
            <w:vAlign w:val="center"/>
          </w:tcPr>
          <w:p>
            <w:pPr>
              <w:pStyle w:val="53"/>
              <w:spacing w:before="31" w:after="31"/>
              <w:rPr>
                <w:rFonts w:hint="eastAsia" w:ascii="宋体" w:hAnsi="宋体" w:cs="宋体"/>
                <w:color w:val="auto"/>
                <w:sz w:val="21"/>
                <w:szCs w:val="21"/>
                <w:highlight w:val="none"/>
                <w:lang w:val="en-US" w:eastAsia="zh-CN"/>
              </w:rPr>
            </w:pPr>
          </w:p>
        </w:tc>
      </w:tr>
    </w:tbl>
    <w:p>
      <w:pPr>
        <w:spacing w:before="156" w:after="156" w:line="360" w:lineRule="auto"/>
        <w:ind w:firstLine="480"/>
        <w:rPr>
          <w:rFonts w:hint="eastAsia" w:hAnsi="宋体" w:cs="宋体"/>
          <w:color w:val="auto"/>
          <w:highlight w:val="none"/>
        </w:rPr>
      </w:pPr>
      <w:r>
        <w:rPr>
          <w:rFonts w:hint="eastAsia" w:hAnsi="宋体" w:cs="宋体"/>
          <w:color w:val="auto"/>
          <w:highlight w:val="none"/>
        </w:rPr>
        <w:t>经计算，本项目场地年SS总量去除率达到</w:t>
      </w:r>
      <w:r>
        <w:rPr>
          <w:rFonts w:hint="eastAsia" w:hAnsi="宋体" w:cs="宋体"/>
          <w:color w:val="auto"/>
          <w:highlight w:val="none"/>
          <w:lang w:val="en-US" w:eastAsia="zh-CN"/>
        </w:rPr>
        <w:t>60.58</w:t>
      </w:r>
      <w:r>
        <w:rPr>
          <w:rFonts w:hint="eastAsia" w:hAnsi="宋体" w:cs="宋体"/>
          <w:color w:val="auto"/>
          <w:highlight w:val="none"/>
        </w:rPr>
        <w:t>%＞</w:t>
      </w:r>
      <w:r>
        <w:rPr>
          <w:rFonts w:hint="eastAsia" w:hAnsi="宋体" w:cs="宋体"/>
          <w:color w:val="auto"/>
          <w:highlight w:val="none"/>
          <w:lang w:val="en-US" w:eastAsia="zh-CN"/>
        </w:rPr>
        <w:t>5</w:t>
      </w:r>
      <w:r>
        <w:rPr>
          <w:rFonts w:hint="eastAsia" w:hAnsi="宋体" w:cs="宋体"/>
          <w:color w:val="auto"/>
          <w:highlight w:val="none"/>
        </w:rPr>
        <w:t>0%，满足</w:t>
      </w:r>
      <w:r>
        <w:rPr>
          <w:rFonts w:hint="eastAsia" w:hAnsi="宋体" w:cs="宋体"/>
        </w:rPr>
        <w:t>《</w:t>
      </w:r>
      <w:r>
        <w:rPr>
          <w:rFonts w:hint="eastAsia"/>
        </w:rPr>
        <w:t>清远市中心城区海绵城市建设技术导则</w:t>
      </w:r>
      <w:r>
        <w:rPr>
          <w:rFonts w:hint="eastAsia" w:hAnsi="宋体" w:cs="宋体"/>
        </w:rPr>
        <w:t>》</w:t>
      </w:r>
      <w:r>
        <w:rPr>
          <w:rFonts w:hint="eastAsia" w:hAnsi="宋体" w:cs="宋体"/>
          <w:color w:val="auto"/>
          <w:highlight w:val="none"/>
        </w:rPr>
        <w:t>的规定。项目通过设置</w:t>
      </w:r>
      <w:r>
        <w:rPr>
          <w:rFonts w:hint="eastAsia" w:hAnsi="宋体" w:cs="宋体"/>
          <w:color w:val="auto"/>
          <w:highlight w:val="none"/>
          <w:lang w:val="en-US" w:eastAsia="zh-CN"/>
        </w:rPr>
        <w:t>下沉绿地、透水铺装</w:t>
      </w:r>
      <w:r>
        <w:rPr>
          <w:rFonts w:hint="eastAsia" w:hAnsi="宋体" w:cs="宋体"/>
          <w:color w:val="auto"/>
          <w:highlight w:val="none"/>
        </w:rPr>
        <w:t>等措施，外排至市政雨水管渠的雨水量得到有效控制，有效提升了区项目的海绵特质，对于海绵建设目标的实现具有积极意义与示范作用。</w:t>
      </w:r>
    </w:p>
    <w:p>
      <w:pPr>
        <w:pStyle w:val="3"/>
        <w:spacing w:before="156" w:after="156"/>
        <w:rPr>
          <w:color w:val="auto"/>
        </w:rPr>
      </w:pPr>
      <w:bookmarkStart w:id="59" w:name="_Toc11284"/>
      <w:r>
        <w:rPr>
          <w:rFonts w:hint="eastAsia"/>
          <w:color w:val="auto"/>
          <w:lang w:val="en-US" w:eastAsia="zh-CN"/>
        </w:rPr>
        <w:t>5</w:t>
      </w:r>
      <w:r>
        <w:rPr>
          <w:rFonts w:hint="eastAsia"/>
          <w:color w:val="auto"/>
        </w:rPr>
        <w:t>、维护管理</w:t>
      </w:r>
      <w:bookmarkEnd w:id="57"/>
      <w:bookmarkEnd w:id="58"/>
      <w:bookmarkEnd w:id="59"/>
    </w:p>
    <w:p>
      <w:pPr>
        <w:pStyle w:val="4"/>
        <w:spacing w:before="156" w:after="156"/>
      </w:pPr>
      <w:bookmarkStart w:id="60" w:name="_Toc515976876"/>
      <w:bookmarkStart w:id="61" w:name="_Toc515976571"/>
      <w:bookmarkStart w:id="62" w:name="_Toc515977252"/>
      <w:bookmarkStart w:id="63" w:name="_Toc527731099"/>
      <w:bookmarkStart w:id="64" w:name="_Toc7963"/>
      <w:r>
        <w:rPr>
          <w:rFonts w:hint="eastAsia"/>
          <w:lang w:val="en-US" w:eastAsia="zh-CN"/>
        </w:rPr>
        <w:t>5</w:t>
      </w:r>
      <w:r>
        <w:rPr>
          <w:rFonts w:hint="eastAsia"/>
        </w:rPr>
        <w:t>.1基本要求</w:t>
      </w:r>
      <w:bookmarkEnd w:id="60"/>
      <w:bookmarkEnd w:id="61"/>
      <w:bookmarkEnd w:id="62"/>
      <w:bookmarkEnd w:id="63"/>
      <w:bookmarkEnd w:id="64"/>
    </w:p>
    <w:p>
      <w:pPr>
        <w:spacing w:before="156" w:after="156" w:line="360" w:lineRule="auto"/>
        <w:ind w:left="480" w:hanging="480" w:hangingChars="200"/>
        <w:rPr>
          <w:rFonts w:hAnsi="宋体" w:cs="宋体"/>
        </w:rPr>
      </w:pPr>
      <w:r>
        <w:rPr>
          <w:rFonts w:hint="eastAsia" w:hAnsi="宋体" w:cs="宋体"/>
        </w:rPr>
        <w:t>1）应建立健全低影响开发设施的维护管理制度和操作规程，配备专职管理人员和相应监测手段，并对管理人员和操作人员加强专业技术培训。</w:t>
      </w:r>
    </w:p>
    <w:p>
      <w:pPr>
        <w:spacing w:before="156" w:after="156" w:line="360" w:lineRule="auto"/>
        <w:ind w:left="480" w:hanging="480" w:hangingChars="200"/>
        <w:rPr>
          <w:rFonts w:hAnsi="宋体" w:cs="宋体"/>
        </w:rPr>
      </w:pPr>
      <w:r>
        <w:rPr>
          <w:rFonts w:hint="eastAsia" w:hAnsi="宋体" w:cs="宋体"/>
        </w:rPr>
        <w:t>2）低影响开发于是设施的维护管理部门应做好雨季来临前和雨季期间设施的检修和维护管理，保障设施正常、安全运行。</w:t>
      </w:r>
    </w:p>
    <w:p>
      <w:pPr>
        <w:spacing w:before="156" w:after="156" w:line="360" w:lineRule="auto"/>
        <w:ind w:left="480" w:hanging="480" w:hangingChars="200"/>
        <w:rPr>
          <w:rFonts w:hAnsi="宋体" w:cs="宋体"/>
        </w:rPr>
      </w:pPr>
      <w:r>
        <w:rPr>
          <w:rFonts w:hint="eastAsia" w:hAnsi="宋体" w:cs="宋体"/>
        </w:rPr>
        <w:t>3）应加强宣传教育和引导，提高公众对海绵城市建设、低影响开发、绿色建筑、城市节水、水生态修复、内涝防治等工作中雨水控制与利用重要性的认识，鼓励公众积极参与低影响开发设施的建设、运行与维护。</w:t>
      </w:r>
    </w:p>
    <w:p>
      <w:pPr>
        <w:pStyle w:val="4"/>
        <w:spacing w:before="156" w:after="156"/>
      </w:pPr>
      <w:bookmarkStart w:id="65" w:name="_Toc14817"/>
      <w:bookmarkStart w:id="66" w:name="_Toc527731100"/>
      <w:bookmarkStart w:id="67" w:name="_Toc515976877"/>
      <w:bookmarkStart w:id="68" w:name="_Toc25974"/>
      <w:bookmarkStart w:id="69" w:name="_Toc515977253"/>
      <w:bookmarkStart w:id="70" w:name="_Toc515976572"/>
      <w:r>
        <w:rPr>
          <w:rFonts w:hint="eastAsia"/>
          <w:lang w:val="en-US" w:eastAsia="zh-CN"/>
        </w:rPr>
        <w:t>5</w:t>
      </w:r>
      <w:r>
        <w:rPr>
          <w:rFonts w:hint="eastAsia"/>
        </w:rPr>
        <w:t>.2设施维护</w:t>
      </w:r>
      <w:bookmarkEnd w:id="65"/>
      <w:bookmarkEnd w:id="66"/>
      <w:bookmarkEnd w:id="67"/>
      <w:bookmarkEnd w:id="68"/>
      <w:bookmarkEnd w:id="69"/>
      <w:bookmarkEnd w:id="70"/>
    </w:p>
    <w:p>
      <w:pPr>
        <w:keepNext w:val="0"/>
        <w:keepLines w:val="0"/>
        <w:pageBreakBefore w:val="0"/>
        <w:widowControl w:val="0"/>
        <w:numPr>
          <w:ilvl w:val="0"/>
          <w:numId w:val="0"/>
        </w:numPr>
        <w:kinsoku/>
        <w:wordWrap/>
        <w:overflowPunct/>
        <w:topLinePunct w:val="0"/>
        <w:autoSpaceDE w:val="0"/>
        <w:autoSpaceDN w:val="0"/>
        <w:bidi w:val="0"/>
        <w:adjustRightInd w:val="0"/>
        <w:snapToGrid/>
        <w:spacing w:before="156" w:after="156" w:line="312" w:lineRule="auto"/>
        <w:ind w:leftChars="-200" w:firstLine="480" w:firstLineChars="200"/>
        <w:textAlignment w:val="auto"/>
        <w:rPr>
          <w:rFonts w:hint="default" w:hAnsi="宋体" w:eastAsia="宋体"/>
          <w:lang w:val="en-US" w:eastAsia="zh-CN"/>
        </w:rPr>
      </w:pPr>
      <w:r>
        <w:rPr>
          <w:rFonts w:hint="eastAsia" w:hAnsi="宋体"/>
          <w:lang w:val="en-US" w:eastAsia="zh-CN"/>
        </w:rPr>
        <w:t>1</w:t>
      </w:r>
      <w:r>
        <w:rPr>
          <w:rFonts w:hint="eastAsia" w:hAnsi="宋体"/>
          <w:lang w:eastAsia="zh-CN"/>
        </w:rPr>
        <w:t>）</w:t>
      </w:r>
      <w:r>
        <w:rPr>
          <w:rFonts w:hint="eastAsia" w:hAnsi="宋体"/>
          <w:lang w:val="en-US" w:eastAsia="zh-CN"/>
        </w:rPr>
        <w:t>下沉绿地</w:t>
      </w:r>
    </w:p>
    <w:p>
      <w:pPr>
        <w:keepNext w:val="0"/>
        <w:keepLines w:val="0"/>
        <w:pageBreakBefore w:val="0"/>
        <w:widowControl w:val="0"/>
        <w:kinsoku/>
        <w:wordWrap/>
        <w:overflowPunct/>
        <w:topLinePunct w:val="0"/>
        <w:autoSpaceDE w:val="0"/>
        <w:autoSpaceDN w:val="0"/>
        <w:bidi w:val="0"/>
        <w:adjustRightInd w:val="0"/>
        <w:snapToGrid/>
        <w:spacing w:before="156" w:after="156" w:line="312" w:lineRule="auto"/>
        <w:ind w:left="200" w:firstLine="0" w:firstLineChars="0"/>
        <w:textAlignment w:val="auto"/>
        <w:rPr>
          <w:rFonts w:hAnsi="宋体"/>
        </w:rPr>
      </w:pPr>
      <w:r>
        <w:rPr>
          <w:rFonts w:hint="eastAsia" w:hAnsi="宋体"/>
        </w:rPr>
        <w:t>a.进水口、溢流口因冲刷造成水土流失时，应设置碎石缓冲或采取其他防冲刷措施;</w:t>
      </w:r>
    </w:p>
    <w:p>
      <w:pPr>
        <w:keepNext w:val="0"/>
        <w:keepLines w:val="0"/>
        <w:pageBreakBefore w:val="0"/>
        <w:widowControl w:val="0"/>
        <w:kinsoku/>
        <w:wordWrap/>
        <w:overflowPunct/>
        <w:topLinePunct w:val="0"/>
        <w:autoSpaceDE w:val="0"/>
        <w:autoSpaceDN w:val="0"/>
        <w:bidi w:val="0"/>
        <w:adjustRightInd w:val="0"/>
        <w:snapToGrid/>
        <w:spacing w:before="156" w:after="156" w:line="312" w:lineRule="auto"/>
        <w:ind w:left="200" w:firstLine="0" w:firstLineChars="0"/>
        <w:textAlignment w:val="auto"/>
        <w:rPr>
          <w:rFonts w:hAnsi="宋体"/>
        </w:rPr>
      </w:pPr>
      <w:r>
        <w:rPr>
          <w:rFonts w:hint="eastAsia" w:hAnsi="宋体"/>
        </w:rPr>
        <w:t>b.进水口、溢流口堵塞或淤积导致过水不畅时，应及时清理垃圾与沉积物;</w:t>
      </w:r>
    </w:p>
    <w:p>
      <w:pPr>
        <w:keepNext w:val="0"/>
        <w:keepLines w:val="0"/>
        <w:pageBreakBefore w:val="0"/>
        <w:widowControl w:val="0"/>
        <w:kinsoku/>
        <w:wordWrap/>
        <w:overflowPunct/>
        <w:topLinePunct w:val="0"/>
        <w:autoSpaceDE w:val="0"/>
        <w:autoSpaceDN w:val="0"/>
        <w:bidi w:val="0"/>
        <w:adjustRightInd w:val="0"/>
        <w:snapToGrid/>
        <w:spacing w:before="156" w:after="156" w:line="312" w:lineRule="auto"/>
        <w:ind w:firstLine="0" w:firstLineChars="0"/>
        <w:textAlignment w:val="auto"/>
        <w:rPr>
          <w:rFonts w:hAnsi="宋体"/>
        </w:rPr>
      </w:pPr>
      <w:r>
        <w:rPr>
          <w:rFonts w:hint="eastAsia" w:hAnsi="宋体"/>
        </w:rPr>
        <w:t>c.前置塘/预处理池内沉积物淤积超过50%时，应及时进行清淤;</w:t>
      </w:r>
    </w:p>
    <w:p>
      <w:pPr>
        <w:keepNext w:val="0"/>
        <w:keepLines w:val="0"/>
        <w:pageBreakBefore w:val="0"/>
        <w:widowControl w:val="0"/>
        <w:kinsoku/>
        <w:wordWrap/>
        <w:overflowPunct/>
        <w:topLinePunct w:val="0"/>
        <w:autoSpaceDE w:val="0"/>
        <w:autoSpaceDN w:val="0"/>
        <w:bidi w:val="0"/>
        <w:adjustRightInd w:val="0"/>
        <w:snapToGrid/>
        <w:spacing w:before="156" w:after="156" w:line="312" w:lineRule="auto"/>
        <w:ind w:firstLine="0" w:firstLineChars="0"/>
        <w:textAlignment w:val="auto"/>
        <w:rPr>
          <w:rFonts w:hAnsi="宋体"/>
        </w:rPr>
      </w:pPr>
      <w:r>
        <w:rPr>
          <w:rFonts w:hint="eastAsia" w:hAnsi="宋体"/>
        </w:rPr>
        <w:t>d.防误接、误用、误饮等警示标识、护栏等安全防护设施及预警系统损坏或缺失时,</w:t>
      </w:r>
    </w:p>
    <w:p>
      <w:pPr>
        <w:keepNext w:val="0"/>
        <w:keepLines w:val="0"/>
        <w:pageBreakBefore w:val="0"/>
        <w:widowControl w:val="0"/>
        <w:kinsoku/>
        <w:wordWrap/>
        <w:overflowPunct/>
        <w:topLinePunct w:val="0"/>
        <w:autoSpaceDE w:val="0"/>
        <w:autoSpaceDN w:val="0"/>
        <w:bidi w:val="0"/>
        <w:adjustRightInd w:val="0"/>
        <w:snapToGrid/>
        <w:spacing w:before="156" w:after="156" w:line="312" w:lineRule="auto"/>
        <w:ind w:left="480" w:hanging="480" w:hangingChars="200"/>
        <w:textAlignment w:val="auto"/>
        <w:rPr>
          <w:rFonts w:hAnsi="宋体"/>
          <w:color w:val="auto"/>
          <w:highlight w:val="none"/>
        </w:rPr>
      </w:pPr>
      <w:bookmarkStart w:id="71" w:name="_Toc19526"/>
      <w:bookmarkStart w:id="72" w:name="_Toc20635"/>
      <w:bookmarkStart w:id="73" w:name="_Toc12146"/>
      <w:bookmarkStart w:id="74" w:name="_Toc31577"/>
      <w:bookmarkStart w:id="75" w:name="_Toc8080713"/>
      <w:r>
        <w:rPr>
          <w:rFonts w:hint="eastAsia" w:hAnsi="宋体"/>
          <w:color w:val="auto"/>
          <w:highlight w:val="none"/>
          <w:lang w:val="en-US" w:eastAsia="zh-CN"/>
        </w:rPr>
        <w:t>2</w:t>
      </w:r>
      <w:r>
        <w:rPr>
          <w:rFonts w:hint="eastAsia" w:hAnsi="宋体"/>
          <w:color w:val="auto"/>
          <w:highlight w:val="none"/>
        </w:rPr>
        <w:t>）透水铺装</w:t>
      </w:r>
    </w:p>
    <w:p>
      <w:pPr>
        <w:keepNext w:val="0"/>
        <w:keepLines w:val="0"/>
        <w:pageBreakBefore w:val="0"/>
        <w:widowControl w:val="0"/>
        <w:kinsoku/>
        <w:wordWrap/>
        <w:overflowPunct/>
        <w:topLinePunct w:val="0"/>
        <w:autoSpaceDE w:val="0"/>
        <w:autoSpaceDN w:val="0"/>
        <w:bidi w:val="0"/>
        <w:adjustRightInd w:val="0"/>
        <w:snapToGrid/>
        <w:spacing w:before="156" w:after="156" w:line="312" w:lineRule="auto"/>
        <w:ind w:left="480" w:hanging="480" w:hangingChars="200"/>
        <w:textAlignment w:val="auto"/>
        <w:rPr>
          <w:rFonts w:hAnsi="宋体"/>
          <w:color w:val="auto"/>
          <w:highlight w:val="none"/>
        </w:rPr>
      </w:pPr>
      <w:r>
        <w:rPr>
          <w:rFonts w:hint="eastAsia" w:hAnsi="宋体"/>
          <w:color w:val="auto"/>
          <w:highlight w:val="none"/>
        </w:rPr>
        <w:t>a.面层出现破损时应及时进行修补或更换；</w:t>
      </w:r>
    </w:p>
    <w:p>
      <w:pPr>
        <w:keepNext w:val="0"/>
        <w:keepLines w:val="0"/>
        <w:pageBreakBefore w:val="0"/>
        <w:widowControl w:val="0"/>
        <w:kinsoku/>
        <w:wordWrap/>
        <w:overflowPunct/>
        <w:topLinePunct w:val="0"/>
        <w:autoSpaceDE w:val="0"/>
        <w:autoSpaceDN w:val="0"/>
        <w:bidi w:val="0"/>
        <w:adjustRightInd w:val="0"/>
        <w:snapToGrid/>
        <w:spacing w:before="156" w:after="156" w:line="312" w:lineRule="auto"/>
        <w:ind w:left="480" w:hanging="480" w:hangingChars="200"/>
        <w:textAlignment w:val="auto"/>
        <w:rPr>
          <w:rFonts w:hAnsi="宋体"/>
          <w:color w:val="auto"/>
          <w:highlight w:val="none"/>
        </w:rPr>
      </w:pPr>
      <w:r>
        <w:rPr>
          <w:rFonts w:hint="eastAsia" w:hAnsi="宋体"/>
          <w:color w:val="auto"/>
          <w:highlight w:val="none"/>
        </w:rPr>
        <w:t>b.出现不均匀沉降时应进行局部整修找平；</w:t>
      </w:r>
    </w:p>
    <w:p>
      <w:pPr>
        <w:keepNext w:val="0"/>
        <w:keepLines w:val="0"/>
        <w:pageBreakBefore w:val="0"/>
        <w:widowControl w:val="0"/>
        <w:kinsoku/>
        <w:wordWrap/>
        <w:overflowPunct/>
        <w:topLinePunct w:val="0"/>
        <w:autoSpaceDE w:val="0"/>
        <w:autoSpaceDN w:val="0"/>
        <w:bidi w:val="0"/>
        <w:adjustRightInd w:val="0"/>
        <w:snapToGrid/>
        <w:spacing w:before="156" w:after="156" w:line="312" w:lineRule="auto"/>
        <w:ind w:left="480" w:hanging="480" w:hangingChars="200"/>
        <w:textAlignment w:val="auto"/>
        <w:rPr>
          <w:rFonts w:hAnsi="宋体"/>
          <w:color w:val="auto"/>
          <w:highlight w:val="none"/>
        </w:rPr>
      </w:pPr>
      <w:r>
        <w:rPr>
          <w:rFonts w:hint="eastAsia" w:hAnsi="宋体"/>
          <w:color w:val="auto"/>
          <w:highlight w:val="none"/>
        </w:rPr>
        <w:t>c.当渗透能力大幅下降时应采用冲洗、负压抽吸等方法及时进行清理；</w:t>
      </w:r>
    </w:p>
    <w:p>
      <w:pPr>
        <w:keepNext w:val="0"/>
        <w:keepLines w:val="0"/>
        <w:pageBreakBefore w:val="0"/>
        <w:widowControl w:val="0"/>
        <w:kinsoku/>
        <w:wordWrap/>
        <w:overflowPunct/>
        <w:topLinePunct w:val="0"/>
        <w:autoSpaceDE w:val="0"/>
        <w:autoSpaceDN w:val="0"/>
        <w:bidi w:val="0"/>
        <w:adjustRightInd w:val="0"/>
        <w:snapToGrid/>
        <w:spacing w:before="156" w:after="156" w:line="312" w:lineRule="auto"/>
        <w:ind w:left="480" w:hanging="480" w:hangingChars="200"/>
        <w:textAlignment w:val="auto"/>
        <w:rPr>
          <w:rFonts w:hAnsi="宋体"/>
        </w:rPr>
      </w:pPr>
      <w:r>
        <w:rPr>
          <w:rFonts w:hint="eastAsia" w:hAnsi="宋体"/>
          <w:color w:val="auto"/>
          <w:highlight w:val="none"/>
        </w:rPr>
        <w:t>d.检修、疏通透水能力 2 次/年（雨季之前和期中）。</w:t>
      </w:r>
      <w:bookmarkEnd w:id="71"/>
      <w:bookmarkEnd w:id="72"/>
      <w:bookmarkEnd w:id="73"/>
      <w:bookmarkEnd w:id="74"/>
      <w:bookmarkEnd w:id="75"/>
    </w:p>
    <w:sectPr>
      <w:pgSz w:w="11850" w:h="16783"/>
      <w:pgMar w:top="1440" w:right="1440" w:bottom="1440" w:left="144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EFF" w:usb1="C000785B" w:usb2="00000009" w:usb3="00000000" w:csb0="400001FF" w:csb1="FFFF0000"/>
  </w:font>
  <w:font w:name="宋体">
    <w:panose1 w:val="02010600030101010101"/>
    <w:charset w:val="88"/>
    <w:family w:val="modern"/>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PMingLiU">
    <w:altName w:val="PMingLiU-ExtB"/>
    <w:panose1 w:val="02020500000000000000"/>
    <w:charset w:val="88"/>
    <w:family w:val="roman"/>
    <w:pitch w:val="default"/>
    <w:sig w:usb0="00000000" w:usb1="00000000" w:usb2="00000016" w:usb3="00000000" w:csb0="00100001" w:csb1="00000000"/>
  </w:font>
  <w:font w:name="Tahoma">
    <w:panose1 w:val="020B0604030504040204"/>
    <w:charset w:val="00"/>
    <w:family w:val="swiss"/>
    <w:pitch w:val="default"/>
    <w:sig w:usb0="E1002EFF" w:usb1="C000605B" w:usb2="00000029" w:usb3="00000000" w:csb0="200101FF" w:csb1="20280000"/>
  </w:font>
  <w:font w:name="ˎ̥">
    <w:altName w:val="Times New Roman"/>
    <w:panose1 w:val="00000000000000000000"/>
    <w:charset w:val="00"/>
    <w:family w:val="roman"/>
    <w:pitch w:val="default"/>
    <w:sig w:usb0="00000000" w:usb1="00000000" w:usb2="00000000" w:usb3="00000000" w:csb0="00040001" w:csb1="00000000"/>
  </w:font>
  <w:font w:name="微软雅黑">
    <w:panose1 w:val="020B0503020204020204"/>
    <w:charset w:val="86"/>
    <w:family w:val="swiss"/>
    <w:pitch w:val="default"/>
    <w:sig w:usb0="80000287" w:usb1="2ACF3C50" w:usb2="00000016" w:usb3="00000000" w:csb0="0004001F" w:csb1="00000000"/>
  </w:font>
  <w:font w:name="华文仿宋">
    <w:altName w:val="仿宋"/>
    <w:panose1 w:val="02010600040101010101"/>
    <w:charset w:val="86"/>
    <w:family w:val="auto"/>
    <w:pitch w:val="default"/>
    <w:sig w:usb0="00000000" w:usb1="00000000" w:usb2="00000000" w:usb3="00000000" w:csb0="0004009F" w:csb1="DFD70000"/>
  </w:font>
  <w:font w:name="Helv">
    <w:altName w:val="Segoe Print"/>
    <w:panose1 w:val="020B0604020202030204"/>
    <w:charset w:val="00"/>
    <w:family w:val="swiss"/>
    <w:pitch w:val="default"/>
    <w:sig w:usb0="00000000" w:usb1="00000000" w:usb2="00000000" w:usb3="00000000" w:csb0="00000001" w:csb1="00000000"/>
  </w:font>
  <w:font w:name="全真楷書">
    <w:altName w:val="宋体"/>
    <w:panose1 w:val="00000000000000000000"/>
    <w:charset w:val="88"/>
    <w:family w:val="modern"/>
    <w:pitch w:val="default"/>
    <w:sig w:usb0="00000000" w:usb1="00000000" w:usb2="00000010" w:usb3="00000000" w:csb0="00100000" w:csb1="00000000"/>
  </w:font>
  <w:font w:name="Adobe 黑体 Std R">
    <w:altName w:val="黑体"/>
    <w:panose1 w:val="020B0400000000000000"/>
    <w:charset w:val="86"/>
    <w:family w:val="swiss"/>
    <w:pitch w:val="default"/>
    <w:sig w:usb0="00000000" w:usb1="00000000" w:usb2="00000016" w:usb3="00000000" w:csb0="00060007" w:csb1="00000000"/>
  </w:font>
  <w:font w:name="仿宋_GB2312">
    <w:altName w:val="仿宋"/>
    <w:panose1 w:val="02010609030101010101"/>
    <w:charset w:val="86"/>
    <w:family w:val="modern"/>
    <w:pitch w:val="default"/>
    <w:sig w:usb0="00000000" w:usb1="00000000" w:usb2="00000010" w:usb3="00000000" w:csb0="00040000" w:csb1="00000000"/>
  </w:font>
  <w:font w:name="PMingLiU-ExtB">
    <w:panose1 w:val="02020500000000000000"/>
    <w:charset w:val="88"/>
    <w:family w:val="auto"/>
    <w:pitch w:val="default"/>
    <w:sig w:usb0="8000002F" w:usb1="02000008" w:usb2="00000000" w:usb3="00000000" w:csb0="00100001" w:csb1="00000000"/>
  </w:font>
  <w:font w:name="仿宋">
    <w:panose1 w:val="02010609060101010101"/>
    <w:charset w:val="86"/>
    <w:family w:val="auto"/>
    <w:pitch w:val="default"/>
    <w:sig w:usb0="800002BF" w:usb1="38CF7CFA" w:usb2="00000016" w:usb3="00000000" w:csb0="00040001"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9"/>
      <w:spacing w:before="120" w:after="120"/>
      <w:ind w:firstLine="360"/>
      <w:jc w:val="right"/>
    </w:pPr>
    <w:r>
      <w:pict>
        <v:shape id="_x0000_s4097" o:spid="_x0000_s4097"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">
          <v:path/>
          <v:fill on="f" focussize="0,0"/>
          <v:stroke on="f" joinstyle="miter"/>
          <v:imagedata o:title=""/>
          <o:lock v:ext="edit"/>
          <v:textbox inset="0mm,0mm,0mm,0mm" style="mso-fit-shape-to-text:t;">
            <w:txbxContent>
              <w:p>
                <w:pPr>
                  <w:snapToGrid w:val="0"/>
                  <w:spacing w:before="120" w:after="120"/>
                  <w:ind w:firstLine="36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15</w:t>
                </w:r>
                <w:r>
                  <w:rPr>
                    <w:rFonts w:hint="eastAsia"/>
                    <w:sz w:val="18"/>
                  </w:rPr>
                  <w:fldChar w:fldCharType="end"/>
                </w:r>
              </w:p>
            </w:txbxContent>
          </v:textbox>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415" w:lineRule="auto"/>
        <w:ind w:firstLine="480"/>
      </w:pPr>
      <w:r>
        <w:separator/>
      </w:r>
    </w:p>
  </w:footnote>
  <w:footnote w:type="continuationSeparator" w:id="1">
    <w:p>
      <w:pPr>
        <w:spacing w:before="0" w:after="0" w:line="415"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0"/>
      <w:pBdr>
        <w:bottom w:val="none" w:color="auto" w:sz="0" w:space="0"/>
      </w:pBdr>
      <w:spacing w:before="120" w:after="120"/>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0E60712"/>
    <w:multiLevelType w:val="multilevel"/>
    <w:tmpl w:val="10E60712"/>
    <w:lvl w:ilvl="0" w:tentative="0">
      <w:start w:val="1"/>
      <w:numFmt w:val="decimal"/>
      <w:lvlText w:val="%1"/>
      <w:lvlJc w:val="left"/>
      <w:pPr>
        <w:tabs>
          <w:tab w:val="left" w:pos="425"/>
        </w:tabs>
        <w:ind w:left="425" w:hanging="425"/>
      </w:pPr>
      <w:rPr>
        <w:rFonts w:hint="eastAsia"/>
      </w:rPr>
    </w:lvl>
    <w:lvl w:ilvl="1" w:tentative="0">
      <w:start w:val="1"/>
      <w:numFmt w:val="decimal"/>
      <w:lvlText w:val="%1.%2"/>
      <w:lvlJc w:val="left"/>
      <w:pPr>
        <w:tabs>
          <w:tab w:val="left" w:pos="992"/>
        </w:tabs>
        <w:ind w:left="992" w:hanging="567"/>
      </w:pPr>
      <w:rPr>
        <w:rFonts w:hint="eastAsia"/>
      </w:rPr>
    </w:lvl>
    <w:lvl w:ilvl="2" w:tentative="0">
      <w:start w:val="1"/>
      <w:numFmt w:val="decimal"/>
      <w:pStyle w:val="74"/>
      <w:lvlText w:val="%1.%2.%3"/>
      <w:lvlJc w:val="left"/>
      <w:pPr>
        <w:tabs>
          <w:tab w:val="left" w:pos="1418"/>
        </w:tabs>
        <w:ind w:left="1418" w:hanging="567"/>
      </w:pPr>
      <w:rPr>
        <w:rFonts w:hint="eastAsia"/>
      </w:rPr>
    </w:lvl>
    <w:lvl w:ilvl="3" w:tentative="0">
      <w:start w:val="1"/>
      <w:numFmt w:val="decimal"/>
      <w:lvlText w:val="%1.%2.%3.%4"/>
      <w:lvlJc w:val="left"/>
      <w:pPr>
        <w:tabs>
          <w:tab w:val="left" w:pos="1984"/>
        </w:tabs>
        <w:ind w:left="1984" w:hanging="708"/>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1">
    <w:nsid w:val="2A4D8DD1"/>
    <w:multiLevelType w:val="singleLevel"/>
    <w:tmpl w:val="2A4D8DD1"/>
    <w:lvl w:ilvl="0" w:tentative="0">
      <w:start w:val="2"/>
      <w:numFmt w:val="decimal"/>
      <w:suff w:val="nothing"/>
      <w:lvlText w:val="%1、"/>
      <w:lvlJc w:val="left"/>
    </w:lvl>
  </w:abstractNum>
  <w:abstractNum w:abstractNumId="2">
    <w:nsid w:val="53BF0C48"/>
    <w:multiLevelType w:val="multilevel"/>
    <w:tmpl w:val="53BF0C48"/>
    <w:lvl w:ilvl="0" w:tentative="0">
      <w:start w:val="1"/>
      <w:numFmt w:val="decimal"/>
      <w:lvlText w:val="%1"/>
      <w:lvlJc w:val="left"/>
      <w:pPr>
        <w:ind w:left="0" w:firstLine="0"/>
      </w:pPr>
      <w:rPr>
        <w:rFonts w:hint="eastAsia" w:eastAsia="Adobe 黑体 Std R"/>
        <w:sz w:val="32"/>
      </w:rPr>
    </w:lvl>
    <w:lvl w:ilvl="1" w:tentative="0">
      <w:start w:val="1"/>
      <w:numFmt w:val="decimal"/>
      <w:isLgl/>
      <w:lvlText w:val="%1.%2"/>
      <w:lvlJc w:val="left"/>
      <w:pPr>
        <w:ind w:left="0" w:firstLine="0"/>
      </w:pPr>
      <w:rPr>
        <w:rFonts w:hint="eastAsia"/>
        <w:sz w:val="30"/>
      </w:rPr>
    </w:lvl>
    <w:lvl w:ilvl="2" w:tentative="0">
      <w:start w:val="1"/>
      <w:numFmt w:val="decimal"/>
      <w:pStyle w:val="136"/>
      <w:lvlText w:val="%1.%2.%3"/>
      <w:lvlJc w:val="left"/>
      <w:pPr>
        <w:ind w:left="0" w:firstLine="0"/>
      </w:pPr>
      <w:rPr>
        <w:rFonts w:hint="eastAsia"/>
        <w:sz w:val="28"/>
      </w:rPr>
    </w:lvl>
    <w:lvl w:ilvl="3" w:tentative="0">
      <w:start w:val="1"/>
      <w:numFmt w:val="decimal"/>
      <w:pStyle w:val="137"/>
      <w:lvlText w:val="%1.%2.%3.%4"/>
      <w:lvlJc w:val="left"/>
      <w:pPr>
        <w:ind w:left="0" w:firstLine="0"/>
      </w:pPr>
      <w:rPr>
        <w:rFonts w:hint="eastAsia"/>
      </w:rPr>
    </w:lvl>
    <w:lvl w:ilvl="4" w:tentative="0">
      <w:start w:val="1"/>
      <w:numFmt w:val="decimal"/>
      <w:lvlText w:val="%5）"/>
      <w:lvlJc w:val="left"/>
      <w:pPr>
        <w:ind w:left="142" w:firstLine="567"/>
      </w:pPr>
      <w:rPr>
        <w:rFonts w:hint="eastAsia"/>
      </w:rPr>
    </w:lvl>
    <w:lvl w:ilvl="5" w:tentative="0">
      <w:start w:val="1"/>
      <w:numFmt w:val="lowerLetter"/>
      <w:pStyle w:val="138"/>
      <w:lvlText w:val="%6）"/>
      <w:lvlJc w:val="left"/>
      <w:pPr>
        <w:tabs>
          <w:tab w:val="left" w:pos="1134"/>
        </w:tabs>
        <w:ind w:left="567" w:firstLine="567"/>
      </w:pPr>
      <w:rPr>
        <w:rFonts w:hint="eastAsia"/>
      </w:rPr>
    </w:lvl>
    <w:lvl w:ilvl="6" w:tentative="0">
      <w:start w:val="1"/>
      <w:numFmt w:val="decimal"/>
      <w:lvlText w:val="%1.%2.%3.%4.%5.%6.%7"/>
      <w:lvlJc w:val="left"/>
      <w:pPr>
        <w:ind w:left="0" w:firstLine="0"/>
      </w:pPr>
      <w:rPr>
        <w:rFonts w:hint="eastAsia"/>
      </w:rPr>
    </w:lvl>
    <w:lvl w:ilvl="7" w:tentative="0">
      <w:start w:val="1"/>
      <w:numFmt w:val="decimal"/>
      <w:lvlText w:val="%1.%2.%3.%4.%5.%6.%7.%8"/>
      <w:lvlJc w:val="left"/>
      <w:pPr>
        <w:ind w:left="0" w:firstLine="0"/>
      </w:pPr>
      <w:rPr>
        <w:rFonts w:hint="eastAsia"/>
      </w:rPr>
    </w:lvl>
    <w:lvl w:ilvl="8" w:tentative="0">
      <w:start w:val="1"/>
      <w:numFmt w:val="decimal"/>
      <w:lvlText w:val="%1.%2.%3.%4.%5.%6.%7.%8.%9"/>
      <w:lvlJc w:val="left"/>
      <w:pPr>
        <w:ind w:left="0" w:firstLine="0"/>
      </w:pPr>
      <w:rPr>
        <w:rFonts w:hint="eastAsia"/>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hideSpellingErrors/>
  <w:documentProtection w:enforcement="0"/>
  <w:defaultTabStop w:val="0"/>
  <w:drawingGridHorizontalSpacing w:val="110"/>
  <w:drawingGridVerticalSpacing w:val="240"/>
  <w:displayHorizontalDrawingGridEvery w:val="1"/>
  <w:displayVerticalDrawingGridEvery w:val="1"/>
  <w:noPunctuationKerning w:val="1"/>
  <w:characterSpacingControl w:val="compressPunctuation"/>
  <w:hdrShapeDefaults>
    <o:shapelayout v:ext="edit">
      <o:idmap v:ext="edit" data="3,4"/>
    </o:shapelayout>
  </w:hdrShapeDefaults>
  <w:footnotePr>
    <w:footnote w:id="0"/>
    <w:footnote w:id="1"/>
  </w:footnotePr>
  <w:endnotePr>
    <w:endnote w:id="0"/>
    <w:endnote w:id="1"/>
  </w:endnotePr>
  <w:compat>
    <w:spaceForUL/>
    <w:balanceSingleByteDoubleByteWidth/>
    <w:doNotLeaveBackslashAlone/>
    <w:doNotExpandShiftReturn/>
    <w:adjustLineHeightInTable/>
    <w:doNotWrapTextWithPunct/>
    <w:doNotUseEastAsianBreakRules/>
    <w:useFELayout/>
    <w:doNotUseIndentAsNumberingTabStop/>
    <w:useAltKinsokuLineBreakRules/>
    <w:compatSetting w:name="compatibilityMode" w:uri="http://schemas.microsoft.com/office/word" w:val="12"/>
  </w:compat>
  <w:docVars>
    <w:docVar w:name="commondata" w:val="eyJoZGlkIjoiZWY2ZjE0NGQ1NTI0ZmI5ZjEyZGZjZDdkM2ZiZDdkM2UifQ=="/>
  </w:docVars>
  <w:rsids>
    <w:rsidRoot w:val="00172A27"/>
    <w:rsid w:val="000045FE"/>
    <w:rsid w:val="00030C47"/>
    <w:rsid w:val="0003493B"/>
    <w:rsid w:val="00043062"/>
    <w:rsid w:val="00056435"/>
    <w:rsid w:val="00056A13"/>
    <w:rsid w:val="00060BAF"/>
    <w:rsid w:val="000645C9"/>
    <w:rsid w:val="000651EB"/>
    <w:rsid w:val="00065E59"/>
    <w:rsid w:val="00072FE5"/>
    <w:rsid w:val="000807E3"/>
    <w:rsid w:val="00083192"/>
    <w:rsid w:val="000870BD"/>
    <w:rsid w:val="000A04D1"/>
    <w:rsid w:val="000A1514"/>
    <w:rsid w:val="000C09A8"/>
    <w:rsid w:val="000C7810"/>
    <w:rsid w:val="000C7CED"/>
    <w:rsid w:val="000D11EC"/>
    <w:rsid w:val="000D1ABC"/>
    <w:rsid w:val="000D7877"/>
    <w:rsid w:val="000E1AD8"/>
    <w:rsid w:val="000F76F1"/>
    <w:rsid w:val="000F7A1B"/>
    <w:rsid w:val="0011377F"/>
    <w:rsid w:val="00114DF0"/>
    <w:rsid w:val="00122314"/>
    <w:rsid w:val="001319B9"/>
    <w:rsid w:val="001358A4"/>
    <w:rsid w:val="00141B6E"/>
    <w:rsid w:val="001440DD"/>
    <w:rsid w:val="001603C4"/>
    <w:rsid w:val="00165236"/>
    <w:rsid w:val="00170235"/>
    <w:rsid w:val="00172A27"/>
    <w:rsid w:val="001741E3"/>
    <w:rsid w:val="00176D69"/>
    <w:rsid w:val="00184F5F"/>
    <w:rsid w:val="00185FCF"/>
    <w:rsid w:val="00192BAA"/>
    <w:rsid w:val="00192F4F"/>
    <w:rsid w:val="00196F87"/>
    <w:rsid w:val="001A0D3A"/>
    <w:rsid w:val="001B0628"/>
    <w:rsid w:val="001B2D3B"/>
    <w:rsid w:val="001B770B"/>
    <w:rsid w:val="001B7DB2"/>
    <w:rsid w:val="001D0F8C"/>
    <w:rsid w:val="001D2C92"/>
    <w:rsid w:val="001E3E6D"/>
    <w:rsid w:val="001E566A"/>
    <w:rsid w:val="001E7660"/>
    <w:rsid w:val="001F0F70"/>
    <w:rsid w:val="001F3C2B"/>
    <w:rsid w:val="001F4ECB"/>
    <w:rsid w:val="00200B85"/>
    <w:rsid w:val="00205A2F"/>
    <w:rsid w:val="00206508"/>
    <w:rsid w:val="0021013E"/>
    <w:rsid w:val="00215A37"/>
    <w:rsid w:val="00217C41"/>
    <w:rsid w:val="00220353"/>
    <w:rsid w:val="00256CD4"/>
    <w:rsid w:val="00267044"/>
    <w:rsid w:val="00285F8E"/>
    <w:rsid w:val="002A3BD6"/>
    <w:rsid w:val="002A6713"/>
    <w:rsid w:val="002B032E"/>
    <w:rsid w:val="002B10DA"/>
    <w:rsid w:val="002B27DE"/>
    <w:rsid w:val="002C0C05"/>
    <w:rsid w:val="002C15F5"/>
    <w:rsid w:val="002C70C6"/>
    <w:rsid w:val="002D0AD9"/>
    <w:rsid w:val="002D3A41"/>
    <w:rsid w:val="002D3AC9"/>
    <w:rsid w:val="002D4A2E"/>
    <w:rsid w:val="002D6A02"/>
    <w:rsid w:val="002E7FCA"/>
    <w:rsid w:val="002F2BF3"/>
    <w:rsid w:val="002F4058"/>
    <w:rsid w:val="00312315"/>
    <w:rsid w:val="00321940"/>
    <w:rsid w:val="00321F96"/>
    <w:rsid w:val="00322318"/>
    <w:rsid w:val="00332912"/>
    <w:rsid w:val="00346A40"/>
    <w:rsid w:val="003514F0"/>
    <w:rsid w:val="00352096"/>
    <w:rsid w:val="0036151C"/>
    <w:rsid w:val="003656A9"/>
    <w:rsid w:val="00390988"/>
    <w:rsid w:val="00390A8F"/>
    <w:rsid w:val="00391DAB"/>
    <w:rsid w:val="003930A5"/>
    <w:rsid w:val="00396A1A"/>
    <w:rsid w:val="003B058A"/>
    <w:rsid w:val="003B5595"/>
    <w:rsid w:val="003C5B81"/>
    <w:rsid w:val="003E0A4B"/>
    <w:rsid w:val="003F653E"/>
    <w:rsid w:val="003F6D27"/>
    <w:rsid w:val="00407036"/>
    <w:rsid w:val="004108A9"/>
    <w:rsid w:val="00412214"/>
    <w:rsid w:val="00416CD5"/>
    <w:rsid w:val="00417FD0"/>
    <w:rsid w:val="0042244E"/>
    <w:rsid w:val="00430E8B"/>
    <w:rsid w:val="00433454"/>
    <w:rsid w:val="00437023"/>
    <w:rsid w:val="00441DBD"/>
    <w:rsid w:val="00460091"/>
    <w:rsid w:val="00460716"/>
    <w:rsid w:val="00462BEB"/>
    <w:rsid w:val="00476137"/>
    <w:rsid w:val="00480B80"/>
    <w:rsid w:val="00486C80"/>
    <w:rsid w:val="00494650"/>
    <w:rsid w:val="004A5915"/>
    <w:rsid w:val="004A7F97"/>
    <w:rsid w:val="004B1F8B"/>
    <w:rsid w:val="004B5960"/>
    <w:rsid w:val="004C39ED"/>
    <w:rsid w:val="004C617A"/>
    <w:rsid w:val="004E7344"/>
    <w:rsid w:val="004E7690"/>
    <w:rsid w:val="00502DAA"/>
    <w:rsid w:val="00503472"/>
    <w:rsid w:val="005223DC"/>
    <w:rsid w:val="0053484A"/>
    <w:rsid w:val="005401C3"/>
    <w:rsid w:val="005426FE"/>
    <w:rsid w:val="00542DC4"/>
    <w:rsid w:val="0054372A"/>
    <w:rsid w:val="00550CDA"/>
    <w:rsid w:val="00557F12"/>
    <w:rsid w:val="00566329"/>
    <w:rsid w:val="00567962"/>
    <w:rsid w:val="00567DEA"/>
    <w:rsid w:val="0057469C"/>
    <w:rsid w:val="00583025"/>
    <w:rsid w:val="00584269"/>
    <w:rsid w:val="00584BAC"/>
    <w:rsid w:val="00586738"/>
    <w:rsid w:val="005A51E4"/>
    <w:rsid w:val="005A674D"/>
    <w:rsid w:val="005B280C"/>
    <w:rsid w:val="005B7170"/>
    <w:rsid w:val="005B7533"/>
    <w:rsid w:val="005C226C"/>
    <w:rsid w:val="005D3B7C"/>
    <w:rsid w:val="005F00B5"/>
    <w:rsid w:val="0060463C"/>
    <w:rsid w:val="00611B34"/>
    <w:rsid w:val="00612C03"/>
    <w:rsid w:val="006231EA"/>
    <w:rsid w:val="00637971"/>
    <w:rsid w:val="0064523B"/>
    <w:rsid w:val="00647A8B"/>
    <w:rsid w:val="006548D5"/>
    <w:rsid w:val="00654C19"/>
    <w:rsid w:val="006779FD"/>
    <w:rsid w:val="0068118C"/>
    <w:rsid w:val="006849AB"/>
    <w:rsid w:val="006D006C"/>
    <w:rsid w:val="006D521B"/>
    <w:rsid w:val="006E2ED7"/>
    <w:rsid w:val="006F2F55"/>
    <w:rsid w:val="006F694E"/>
    <w:rsid w:val="00704292"/>
    <w:rsid w:val="00713FEA"/>
    <w:rsid w:val="007243CF"/>
    <w:rsid w:val="00745CF0"/>
    <w:rsid w:val="00747E53"/>
    <w:rsid w:val="00761D23"/>
    <w:rsid w:val="00763FB6"/>
    <w:rsid w:val="00767F22"/>
    <w:rsid w:val="0077552D"/>
    <w:rsid w:val="007769EC"/>
    <w:rsid w:val="00781251"/>
    <w:rsid w:val="007855C7"/>
    <w:rsid w:val="007901BE"/>
    <w:rsid w:val="0079327F"/>
    <w:rsid w:val="007A2D66"/>
    <w:rsid w:val="007B193E"/>
    <w:rsid w:val="007B2133"/>
    <w:rsid w:val="007C756E"/>
    <w:rsid w:val="007D1A7A"/>
    <w:rsid w:val="007D69BC"/>
    <w:rsid w:val="007E2BFE"/>
    <w:rsid w:val="007E5341"/>
    <w:rsid w:val="007F3D28"/>
    <w:rsid w:val="007F4BEA"/>
    <w:rsid w:val="00801951"/>
    <w:rsid w:val="00806D3E"/>
    <w:rsid w:val="0082081D"/>
    <w:rsid w:val="0082246D"/>
    <w:rsid w:val="00824ACE"/>
    <w:rsid w:val="00826350"/>
    <w:rsid w:val="00827039"/>
    <w:rsid w:val="0084576D"/>
    <w:rsid w:val="00845EFC"/>
    <w:rsid w:val="00846613"/>
    <w:rsid w:val="0085387A"/>
    <w:rsid w:val="00855656"/>
    <w:rsid w:val="0085790E"/>
    <w:rsid w:val="00862A0A"/>
    <w:rsid w:val="00870986"/>
    <w:rsid w:val="00870F4F"/>
    <w:rsid w:val="00872B60"/>
    <w:rsid w:val="00872BAD"/>
    <w:rsid w:val="00887528"/>
    <w:rsid w:val="00897564"/>
    <w:rsid w:val="008A0610"/>
    <w:rsid w:val="008A15BC"/>
    <w:rsid w:val="008C4CF2"/>
    <w:rsid w:val="008C6D59"/>
    <w:rsid w:val="008E153A"/>
    <w:rsid w:val="008E766E"/>
    <w:rsid w:val="008F2D3A"/>
    <w:rsid w:val="00904A14"/>
    <w:rsid w:val="0091206C"/>
    <w:rsid w:val="00916404"/>
    <w:rsid w:val="009368C6"/>
    <w:rsid w:val="00942929"/>
    <w:rsid w:val="00946110"/>
    <w:rsid w:val="00952F0F"/>
    <w:rsid w:val="00956B0E"/>
    <w:rsid w:val="0096140C"/>
    <w:rsid w:val="009760A2"/>
    <w:rsid w:val="00982720"/>
    <w:rsid w:val="009862A7"/>
    <w:rsid w:val="0098708B"/>
    <w:rsid w:val="009A4414"/>
    <w:rsid w:val="009B474D"/>
    <w:rsid w:val="009C39E0"/>
    <w:rsid w:val="009D2AEB"/>
    <w:rsid w:val="009F19B3"/>
    <w:rsid w:val="00A14074"/>
    <w:rsid w:val="00A15025"/>
    <w:rsid w:val="00A167F6"/>
    <w:rsid w:val="00A25587"/>
    <w:rsid w:val="00A2670D"/>
    <w:rsid w:val="00A34AEB"/>
    <w:rsid w:val="00A351BF"/>
    <w:rsid w:val="00A416B2"/>
    <w:rsid w:val="00A52EC8"/>
    <w:rsid w:val="00A55582"/>
    <w:rsid w:val="00A63443"/>
    <w:rsid w:val="00A64848"/>
    <w:rsid w:val="00A724D6"/>
    <w:rsid w:val="00A74F35"/>
    <w:rsid w:val="00A82699"/>
    <w:rsid w:val="00A87334"/>
    <w:rsid w:val="00A95770"/>
    <w:rsid w:val="00AA0833"/>
    <w:rsid w:val="00AA26E0"/>
    <w:rsid w:val="00AB67DF"/>
    <w:rsid w:val="00B03774"/>
    <w:rsid w:val="00B041CE"/>
    <w:rsid w:val="00B11233"/>
    <w:rsid w:val="00B30067"/>
    <w:rsid w:val="00B33FFC"/>
    <w:rsid w:val="00B4615E"/>
    <w:rsid w:val="00B96A05"/>
    <w:rsid w:val="00BA7D15"/>
    <w:rsid w:val="00BB3932"/>
    <w:rsid w:val="00BC20D1"/>
    <w:rsid w:val="00BC4FEF"/>
    <w:rsid w:val="00BC597F"/>
    <w:rsid w:val="00BC7B3F"/>
    <w:rsid w:val="00BD3538"/>
    <w:rsid w:val="00BD5372"/>
    <w:rsid w:val="00BD6600"/>
    <w:rsid w:val="00BE2BFE"/>
    <w:rsid w:val="00BE2FC1"/>
    <w:rsid w:val="00BE3B15"/>
    <w:rsid w:val="00BF1D13"/>
    <w:rsid w:val="00C157EA"/>
    <w:rsid w:val="00C15D57"/>
    <w:rsid w:val="00C274E5"/>
    <w:rsid w:val="00C2759C"/>
    <w:rsid w:val="00C30850"/>
    <w:rsid w:val="00C4603F"/>
    <w:rsid w:val="00C506A7"/>
    <w:rsid w:val="00C61B76"/>
    <w:rsid w:val="00C62381"/>
    <w:rsid w:val="00C63A03"/>
    <w:rsid w:val="00C65D9C"/>
    <w:rsid w:val="00C715C5"/>
    <w:rsid w:val="00C755E9"/>
    <w:rsid w:val="00C83B75"/>
    <w:rsid w:val="00C90886"/>
    <w:rsid w:val="00C923DF"/>
    <w:rsid w:val="00C94320"/>
    <w:rsid w:val="00CA0A04"/>
    <w:rsid w:val="00CA2651"/>
    <w:rsid w:val="00CA2925"/>
    <w:rsid w:val="00CC58BE"/>
    <w:rsid w:val="00CE688A"/>
    <w:rsid w:val="00CE6A36"/>
    <w:rsid w:val="00D20052"/>
    <w:rsid w:val="00D31C34"/>
    <w:rsid w:val="00D37D47"/>
    <w:rsid w:val="00D43CCA"/>
    <w:rsid w:val="00D44284"/>
    <w:rsid w:val="00D44C6C"/>
    <w:rsid w:val="00D4550A"/>
    <w:rsid w:val="00D46823"/>
    <w:rsid w:val="00D5723B"/>
    <w:rsid w:val="00D67DE3"/>
    <w:rsid w:val="00D75CCB"/>
    <w:rsid w:val="00D87C90"/>
    <w:rsid w:val="00DA473B"/>
    <w:rsid w:val="00DA4C9F"/>
    <w:rsid w:val="00DA7619"/>
    <w:rsid w:val="00DB01CE"/>
    <w:rsid w:val="00DC298F"/>
    <w:rsid w:val="00DC64EB"/>
    <w:rsid w:val="00DD2622"/>
    <w:rsid w:val="00DD3A5B"/>
    <w:rsid w:val="00DE7831"/>
    <w:rsid w:val="00DF3DB7"/>
    <w:rsid w:val="00DF3F14"/>
    <w:rsid w:val="00E21934"/>
    <w:rsid w:val="00E221F9"/>
    <w:rsid w:val="00E610AA"/>
    <w:rsid w:val="00E63503"/>
    <w:rsid w:val="00E76888"/>
    <w:rsid w:val="00E8337A"/>
    <w:rsid w:val="00E844EC"/>
    <w:rsid w:val="00E96EAD"/>
    <w:rsid w:val="00EA507D"/>
    <w:rsid w:val="00EB1379"/>
    <w:rsid w:val="00EB53D7"/>
    <w:rsid w:val="00EB65EF"/>
    <w:rsid w:val="00EB7FCA"/>
    <w:rsid w:val="00EC0F1D"/>
    <w:rsid w:val="00EC5E83"/>
    <w:rsid w:val="00EC66E6"/>
    <w:rsid w:val="00ED0A4F"/>
    <w:rsid w:val="00ED1AFA"/>
    <w:rsid w:val="00ED3661"/>
    <w:rsid w:val="00ED7655"/>
    <w:rsid w:val="00EF293C"/>
    <w:rsid w:val="00F01E05"/>
    <w:rsid w:val="00F07CD3"/>
    <w:rsid w:val="00F07F86"/>
    <w:rsid w:val="00F106F9"/>
    <w:rsid w:val="00F20D24"/>
    <w:rsid w:val="00F27149"/>
    <w:rsid w:val="00F30442"/>
    <w:rsid w:val="00F3326A"/>
    <w:rsid w:val="00F5534A"/>
    <w:rsid w:val="00F70DCA"/>
    <w:rsid w:val="00F72B1E"/>
    <w:rsid w:val="00F75C19"/>
    <w:rsid w:val="00F8750C"/>
    <w:rsid w:val="00F87A19"/>
    <w:rsid w:val="00FB0935"/>
    <w:rsid w:val="00FB63A2"/>
    <w:rsid w:val="00FC064C"/>
    <w:rsid w:val="00FE538F"/>
    <w:rsid w:val="00FE61A0"/>
    <w:rsid w:val="01047BAD"/>
    <w:rsid w:val="010A1213"/>
    <w:rsid w:val="01212213"/>
    <w:rsid w:val="012F46FD"/>
    <w:rsid w:val="01407BB6"/>
    <w:rsid w:val="019409D2"/>
    <w:rsid w:val="019E64B0"/>
    <w:rsid w:val="01B13460"/>
    <w:rsid w:val="01B913A0"/>
    <w:rsid w:val="01CD3B72"/>
    <w:rsid w:val="01D453DC"/>
    <w:rsid w:val="01D63375"/>
    <w:rsid w:val="01E23398"/>
    <w:rsid w:val="01EA463F"/>
    <w:rsid w:val="01F07A51"/>
    <w:rsid w:val="02171A55"/>
    <w:rsid w:val="026A1E5A"/>
    <w:rsid w:val="02874EB6"/>
    <w:rsid w:val="028D45E0"/>
    <w:rsid w:val="02A203E7"/>
    <w:rsid w:val="02C0268E"/>
    <w:rsid w:val="02E62AF9"/>
    <w:rsid w:val="02F439C4"/>
    <w:rsid w:val="03016853"/>
    <w:rsid w:val="030A0408"/>
    <w:rsid w:val="030C0A30"/>
    <w:rsid w:val="03953278"/>
    <w:rsid w:val="0398157C"/>
    <w:rsid w:val="03A046E2"/>
    <w:rsid w:val="03B22E94"/>
    <w:rsid w:val="03C80584"/>
    <w:rsid w:val="03D6029A"/>
    <w:rsid w:val="03E27380"/>
    <w:rsid w:val="03EA7E28"/>
    <w:rsid w:val="041270BE"/>
    <w:rsid w:val="04172EDB"/>
    <w:rsid w:val="041B6595"/>
    <w:rsid w:val="04266B6E"/>
    <w:rsid w:val="043C0654"/>
    <w:rsid w:val="044C2CD2"/>
    <w:rsid w:val="0452774D"/>
    <w:rsid w:val="04625C22"/>
    <w:rsid w:val="04BB7F4A"/>
    <w:rsid w:val="0524668C"/>
    <w:rsid w:val="05332DDB"/>
    <w:rsid w:val="05575136"/>
    <w:rsid w:val="055A1C46"/>
    <w:rsid w:val="056B3FD7"/>
    <w:rsid w:val="05927CC1"/>
    <w:rsid w:val="05B94421"/>
    <w:rsid w:val="05E32155"/>
    <w:rsid w:val="05F36BCB"/>
    <w:rsid w:val="06222576"/>
    <w:rsid w:val="066328DE"/>
    <w:rsid w:val="06B94569"/>
    <w:rsid w:val="06C2603C"/>
    <w:rsid w:val="06C76F5E"/>
    <w:rsid w:val="06EE4D85"/>
    <w:rsid w:val="06FB21CD"/>
    <w:rsid w:val="07330E06"/>
    <w:rsid w:val="073C6088"/>
    <w:rsid w:val="075A4346"/>
    <w:rsid w:val="075D2A3E"/>
    <w:rsid w:val="07731155"/>
    <w:rsid w:val="07815507"/>
    <w:rsid w:val="0795677F"/>
    <w:rsid w:val="07980138"/>
    <w:rsid w:val="07A63A9D"/>
    <w:rsid w:val="07AC0883"/>
    <w:rsid w:val="07BA0365"/>
    <w:rsid w:val="07DD5829"/>
    <w:rsid w:val="07E741F2"/>
    <w:rsid w:val="080A2F53"/>
    <w:rsid w:val="081809C2"/>
    <w:rsid w:val="082A5F1C"/>
    <w:rsid w:val="082E7110"/>
    <w:rsid w:val="084A7917"/>
    <w:rsid w:val="085934F9"/>
    <w:rsid w:val="086619C5"/>
    <w:rsid w:val="08797057"/>
    <w:rsid w:val="087C7919"/>
    <w:rsid w:val="08A25C6C"/>
    <w:rsid w:val="08A548E8"/>
    <w:rsid w:val="08A571EA"/>
    <w:rsid w:val="08A917E1"/>
    <w:rsid w:val="08AD7437"/>
    <w:rsid w:val="08C009CB"/>
    <w:rsid w:val="08DB5604"/>
    <w:rsid w:val="08F048AE"/>
    <w:rsid w:val="0916108A"/>
    <w:rsid w:val="09181048"/>
    <w:rsid w:val="09246C8A"/>
    <w:rsid w:val="095A4572"/>
    <w:rsid w:val="095F1FE1"/>
    <w:rsid w:val="09A6738E"/>
    <w:rsid w:val="09AB4945"/>
    <w:rsid w:val="09AB6D19"/>
    <w:rsid w:val="09E967C8"/>
    <w:rsid w:val="0A0C285A"/>
    <w:rsid w:val="0A314570"/>
    <w:rsid w:val="0A3362E2"/>
    <w:rsid w:val="0A4564CB"/>
    <w:rsid w:val="0A4A0549"/>
    <w:rsid w:val="0A5746D7"/>
    <w:rsid w:val="0A7658DA"/>
    <w:rsid w:val="0A7A514E"/>
    <w:rsid w:val="0A834F64"/>
    <w:rsid w:val="0A923AC3"/>
    <w:rsid w:val="0A99452C"/>
    <w:rsid w:val="0AA74B73"/>
    <w:rsid w:val="0AB9640E"/>
    <w:rsid w:val="0ABA476E"/>
    <w:rsid w:val="0ABC4904"/>
    <w:rsid w:val="0AF124AD"/>
    <w:rsid w:val="0B00057C"/>
    <w:rsid w:val="0B0F536B"/>
    <w:rsid w:val="0B21104E"/>
    <w:rsid w:val="0B3C4909"/>
    <w:rsid w:val="0B5A45DF"/>
    <w:rsid w:val="0B5E1B10"/>
    <w:rsid w:val="0B7500C1"/>
    <w:rsid w:val="0B7B06BD"/>
    <w:rsid w:val="0B7B3CB8"/>
    <w:rsid w:val="0B7D189E"/>
    <w:rsid w:val="0B9734A4"/>
    <w:rsid w:val="0B9A2B52"/>
    <w:rsid w:val="0BA0447B"/>
    <w:rsid w:val="0BE66A79"/>
    <w:rsid w:val="0BE711B1"/>
    <w:rsid w:val="0BEE28B2"/>
    <w:rsid w:val="0C0E7C4C"/>
    <w:rsid w:val="0C1702FC"/>
    <w:rsid w:val="0C197D4A"/>
    <w:rsid w:val="0C2B7712"/>
    <w:rsid w:val="0C653FCE"/>
    <w:rsid w:val="0C79103D"/>
    <w:rsid w:val="0C885417"/>
    <w:rsid w:val="0CB61A9B"/>
    <w:rsid w:val="0CD10CE7"/>
    <w:rsid w:val="0CDA22FD"/>
    <w:rsid w:val="0CE90C2F"/>
    <w:rsid w:val="0D0E0975"/>
    <w:rsid w:val="0D12218D"/>
    <w:rsid w:val="0D3D7139"/>
    <w:rsid w:val="0D553C8D"/>
    <w:rsid w:val="0D8A1185"/>
    <w:rsid w:val="0DCD3B0B"/>
    <w:rsid w:val="0DFE0CF9"/>
    <w:rsid w:val="0E0F6411"/>
    <w:rsid w:val="0E31205C"/>
    <w:rsid w:val="0E424B0A"/>
    <w:rsid w:val="0E4A3BC5"/>
    <w:rsid w:val="0E4D0FFA"/>
    <w:rsid w:val="0E4D5888"/>
    <w:rsid w:val="0E735BAC"/>
    <w:rsid w:val="0E82726F"/>
    <w:rsid w:val="0EA01EE8"/>
    <w:rsid w:val="0ED9715B"/>
    <w:rsid w:val="0EE42856"/>
    <w:rsid w:val="0EF12EF6"/>
    <w:rsid w:val="0EF32D02"/>
    <w:rsid w:val="0F0D47D2"/>
    <w:rsid w:val="0F184321"/>
    <w:rsid w:val="0F1F7FDC"/>
    <w:rsid w:val="0F3353F5"/>
    <w:rsid w:val="0F4514F3"/>
    <w:rsid w:val="0F513ECB"/>
    <w:rsid w:val="0F5908AD"/>
    <w:rsid w:val="0F6F1A1F"/>
    <w:rsid w:val="0F734CF8"/>
    <w:rsid w:val="0FAD111C"/>
    <w:rsid w:val="0FB16060"/>
    <w:rsid w:val="0FE26F06"/>
    <w:rsid w:val="10171D31"/>
    <w:rsid w:val="10314FE5"/>
    <w:rsid w:val="1035000F"/>
    <w:rsid w:val="104D4694"/>
    <w:rsid w:val="105031BE"/>
    <w:rsid w:val="106D0892"/>
    <w:rsid w:val="10741720"/>
    <w:rsid w:val="108D61CD"/>
    <w:rsid w:val="10960F0B"/>
    <w:rsid w:val="10A30730"/>
    <w:rsid w:val="10A57D68"/>
    <w:rsid w:val="10A72EE2"/>
    <w:rsid w:val="10A740F8"/>
    <w:rsid w:val="10B322D7"/>
    <w:rsid w:val="10BD1121"/>
    <w:rsid w:val="10DA6D34"/>
    <w:rsid w:val="10DE373D"/>
    <w:rsid w:val="10DF6A7E"/>
    <w:rsid w:val="111546BF"/>
    <w:rsid w:val="112B136A"/>
    <w:rsid w:val="112E5CEC"/>
    <w:rsid w:val="116D5876"/>
    <w:rsid w:val="116D7304"/>
    <w:rsid w:val="11733DBA"/>
    <w:rsid w:val="11A069C0"/>
    <w:rsid w:val="11A769A4"/>
    <w:rsid w:val="11CE2EDF"/>
    <w:rsid w:val="11ED41E8"/>
    <w:rsid w:val="12015866"/>
    <w:rsid w:val="12015DC6"/>
    <w:rsid w:val="12054331"/>
    <w:rsid w:val="121369B3"/>
    <w:rsid w:val="123A0B69"/>
    <w:rsid w:val="12496F87"/>
    <w:rsid w:val="125166C7"/>
    <w:rsid w:val="1252473B"/>
    <w:rsid w:val="12552772"/>
    <w:rsid w:val="126421DC"/>
    <w:rsid w:val="1268581B"/>
    <w:rsid w:val="12DE13AD"/>
    <w:rsid w:val="12F862AF"/>
    <w:rsid w:val="13043140"/>
    <w:rsid w:val="13084BD9"/>
    <w:rsid w:val="130D27DF"/>
    <w:rsid w:val="13156CCF"/>
    <w:rsid w:val="131938D6"/>
    <w:rsid w:val="13270F59"/>
    <w:rsid w:val="133860F5"/>
    <w:rsid w:val="133B1AE8"/>
    <w:rsid w:val="134A72EB"/>
    <w:rsid w:val="139D431D"/>
    <w:rsid w:val="13A67741"/>
    <w:rsid w:val="13B276B9"/>
    <w:rsid w:val="13FF4FA9"/>
    <w:rsid w:val="140511AF"/>
    <w:rsid w:val="141763F6"/>
    <w:rsid w:val="14557FD9"/>
    <w:rsid w:val="14854E76"/>
    <w:rsid w:val="14905716"/>
    <w:rsid w:val="14A762BA"/>
    <w:rsid w:val="14B000FD"/>
    <w:rsid w:val="14D43107"/>
    <w:rsid w:val="15084438"/>
    <w:rsid w:val="15132822"/>
    <w:rsid w:val="15390791"/>
    <w:rsid w:val="15430DA4"/>
    <w:rsid w:val="154C2FF0"/>
    <w:rsid w:val="15A917AE"/>
    <w:rsid w:val="15AF38F2"/>
    <w:rsid w:val="15C0422B"/>
    <w:rsid w:val="15CA5664"/>
    <w:rsid w:val="15D23284"/>
    <w:rsid w:val="15DF440B"/>
    <w:rsid w:val="15E10485"/>
    <w:rsid w:val="1618252C"/>
    <w:rsid w:val="16183FDF"/>
    <w:rsid w:val="16210497"/>
    <w:rsid w:val="162E468F"/>
    <w:rsid w:val="164B6F7F"/>
    <w:rsid w:val="169C3C7F"/>
    <w:rsid w:val="16A77806"/>
    <w:rsid w:val="16BA3834"/>
    <w:rsid w:val="16D810A9"/>
    <w:rsid w:val="16E44CE9"/>
    <w:rsid w:val="17042DD7"/>
    <w:rsid w:val="17100D21"/>
    <w:rsid w:val="17115C2A"/>
    <w:rsid w:val="17117C8A"/>
    <w:rsid w:val="1745277A"/>
    <w:rsid w:val="1753538C"/>
    <w:rsid w:val="17741400"/>
    <w:rsid w:val="17861A65"/>
    <w:rsid w:val="178B0C43"/>
    <w:rsid w:val="17AF4829"/>
    <w:rsid w:val="17B653F6"/>
    <w:rsid w:val="17E1161E"/>
    <w:rsid w:val="17ED09D7"/>
    <w:rsid w:val="17F73D30"/>
    <w:rsid w:val="18051762"/>
    <w:rsid w:val="181C1C18"/>
    <w:rsid w:val="182347CD"/>
    <w:rsid w:val="18284982"/>
    <w:rsid w:val="182E57F1"/>
    <w:rsid w:val="182F4B32"/>
    <w:rsid w:val="185710FF"/>
    <w:rsid w:val="187268F8"/>
    <w:rsid w:val="18C84323"/>
    <w:rsid w:val="18CD3A4D"/>
    <w:rsid w:val="18D74260"/>
    <w:rsid w:val="18E10FB5"/>
    <w:rsid w:val="18E20D7F"/>
    <w:rsid w:val="18F53D10"/>
    <w:rsid w:val="191415D7"/>
    <w:rsid w:val="191C5D9A"/>
    <w:rsid w:val="192056A2"/>
    <w:rsid w:val="192708D7"/>
    <w:rsid w:val="19394188"/>
    <w:rsid w:val="195A2BF1"/>
    <w:rsid w:val="196D196E"/>
    <w:rsid w:val="19732F42"/>
    <w:rsid w:val="197407A1"/>
    <w:rsid w:val="197E7E3B"/>
    <w:rsid w:val="19925B41"/>
    <w:rsid w:val="19947D9E"/>
    <w:rsid w:val="19E90BFB"/>
    <w:rsid w:val="19F50124"/>
    <w:rsid w:val="19FA6486"/>
    <w:rsid w:val="1A30713D"/>
    <w:rsid w:val="1A342369"/>
    <w:rsid w:val="1A35760F"/>
    <w:rsid w:val="1A364522"/>
    <w:rsid w:val="1A3A7D2D"/>
    <w:rsid w:val="1A52526C"/>
    <w:rsid w:val="1A6B745C"/>
    <w:rsid w:val="1A83161A"/>
    <w:rsid w:val="1A846E8B"/>
    <w:rsid w:val="1A983A9A"/>
    <w:rsid w:val="1ACB1CD9"/>
    <w:rsid w:val="1AEA7F3F"/>
    <w:rsid w:val="1AF60B50"/>
    <w:rsid w:val="1AFF3FE0"/>
    <w:rsid w:val="1B11548B"/>
    <w:rsid w:val="1B1A0A78"/>
    <w:rsid w:val="1B3642A5"/>
    <w:rsid w:val="1B3D6EF9"/>
    <w:rsid w:val="1B636AD7"/>
    <w:rsid w:val="1B884663"/>
    <w:rsid w:val="1B9177F2"/>
    <w:rsid w:val="1B956EBA"/>
    <w:rsid w:val="1BA20CC6"/>
    <w:rsid w:val="1BA53BDA"/>
    <w:rsid w:val="1BAA15BA"/>
    <w:rsid w:val="1BCA765C"/>
    <w:rsid w:val="1BCD760D"/>
    <w:rsid w:val="1BD022E3"/>
    <w:rsid w:val="1BD15C03"/>
    <w:rsid w:val="1BD9235C"/>
    <w:rsid w:val="1BD976C2"/>
    <w:rsid w:val="1C1F03AC"/>
    <w:rsid w:val="1C232A35"/>
    <w:rsid w:val="1C37720C"/>
    <w:rsid w:val="1C3A4AE7"/>
    <w:rsid w:val="1C40107C"/>
    <w:rsid w:val="1C410774"/>
    <w:rsid w:val="1C682648"/>
    <w:rsid w:val="1C7513F0"/>
    <w:rsid w:val="1C782FA2"/>
    <w:rsid w:val="1C790013"/>
    <w:rsid w:val="1C7B4A3A"/>
    <w:rsid w:val="1C8D3DC1"/>
    <w:rsid w:val="1C901317"/>
    <w:rsid w:val="1CA418BC"/>
    <w:rsid w:val="1CD27C09"/>
    <w:rsid w:val="1D2C007D"/>
    <w:rsid w:val="1D444093"/>
    <w:rsid w:val="1D445DED"/>
    <w:rsid w:val="1D652F82"/>
    <w:rsid w:val="1D893139"/>
    <w:rsid w:val="1D9B7A2D"/>
    <w:rsid w:val="1DA620B2"/>
    <w:rsid w:val="1DAF4CAF"/>
    <w:rsid w:val="1DD55D1F"/>
    <w:rsid w:val="1DD92869"/>
    <w:rsid w:val="1E0A6935"/>
    <w:rsid w:val="1E476665"/>
    <w:rsid w:val="1E507EE6"/>
    <w:rsid w:val="1E6458FB"/>
    <w:rsid w:val="1E662A28"/>
    <w:rsid w:val="1E7511E4"/>
    <w:rsid w:val="1EAD7F97"/>
    <w:rsid w:val="1EAE165E"/>
    <w:rsid w:val="1EF624FE"/>
    <w:rsid w:val="1EFB5341"/>
    <w:rsid w:val="1EFF102D"/>
    <w:rsid w:val="1F101845"/>
    <w:rsid w:val="1F223AA8"/>
    <w:rsid w:val="1F437B39"/>
    <w:rsid w:val="1F4905FA"/>
    <w:rsid w:val="1F64610B"/>
    <w:rsid w:val="1FAB5C8A"/>
    <w:rsid w:val="1FDF0C2A"/>
    <w:rsid w:val="1FEA05F2"/>
    <w:rsid w:val="1FEE4574"/>
    <w:rsid w:val="1FF25465"/>
    <w:rsid w:val="1FF32CF5"/>
    <w:rsid w:val="20002199"/>
    <w:rsid w:val="20162F4F"/>
    <w:rsid w:val="20296DA0"/>
    <w:rsid w:val="2046687E"/>
    <w:rsid w:val="204A3CF3"/>
    <w:rsid w:val="20716DE8"/>
    <w:rsid w:val="208C3C31"/>
    <w:rsid w:val="20A01B70"/>
    <w:rsid w:val="20A40C7B"/>
    <w:rsid w:val="20B636C7"/>
    <w:rsid w:val="20B75EFA"/>
    <w:rsid w:val="20E64E37"/>
    <w:rsid w:val="20E93172"/>
    <w:rsid w:val="20EB468B"/>
    <w:rsid w:val="21023E2E"/>
    <w:rsid w:val="210C3CBB"/>
    <w:rsid w:val="21122AC0"/>
    <w:rsid w:val="216C4C2B"/>
    <w:rsid w:val="22133CF5"/>
    <w:rsid w:val="223E6B2C"/>
    <w:rsid w:val="22715F0F"/>
    <w:rsid w:val="22866C19"/>
    <w:rsid w:val="228E3BBB"/>
    <w:rsid w:val="229920BF"/>
    <w:rsid w:val="22B02B43"/>
    <w:rsid w:val="22E015B3"/>
    <w:rsid w:val="22F5179B"/>
    <w:rsid w:val="22FB623C"/>
    <w:rsid w:val="22FD5A03"/>
    <w:rsid w:val="23114D5C"/>
    <w:rsid w:val="232312E6"/>
    <w:rsid w:val="232A574D"/>
    <w:rsid w:val="23325F11"/>
    <w:rsid w:val="23492961"/>
    <w:rsid w:val="23711FEF"/>
    <w:rsid w:val="237A49AB"/>
    <w:rsid w:val="23AB24FB"/>
    <w:rsid w:val="23CE7CBC"/>
    <w:rsid w:val="23D82E0F"/>
    <w:rsid w:val="23DF3F4A"/>
    <w:rsid w:val="23FE6254"/>
    <w:rsid w:val="241575AB"/>
    <w:rsid w:val="242420EF"/>
    <w:rsid w:val="24247A92"/>
    <w:rsid w:val="242A4D3C"/>
    <w:rsid w:val="245316DB"/>
    <w:rsid w:val="24653865"/>
    <w:rsid w:val="2469458C"/>
    <w:rsid w:val="24852A31"/>
    <w:rsid w:val="24853F73"/>
    <w:rsid w:val="249146FD"/>
    <w:rsid w:val="249B3FE2"/>
    <w:rsid w:val="24C91E21"/>
    <w:rsid w:val="24D72873"/>
    <w:rsid w:val="24F23587"/>
    <w:rsid w:val="25044E93"/>
    <w:rsid w:val="25310BC2"/>
    <w:rsid w:val="254C5EE4"/>
    <w:rsid w:val="254E28F8"/>
    <w:rsid w:val="256357FD"/>
    <w:rsid w:val="257D13F4"/>
    <w:rsid w:val="258D5C33"/>
    <w:rsid w:val="259268B2"/>
    <w:rsid w:val="25933791"/>
    <w:rsid w:val="25953510"/>
    <w:rsid w:val="25BD4925"/>
    <w:rsid w:val="25E0738F"/>
    <w:rsid w:val="25F05352"/>
    <w:rsid w:val="25FB16AB"/>
    <w:rsid w:val="26381612"/>
    <w:rsid w:val="26442F4B"/>
    <w:rsid w:val="26682F71"/>
    <w:rsid w:val="267477D2"/>
    <w:rsid w:val="269C7383"/>
    <w:rsid w:val="269F19F9"/>
    <w:rsid w:val="26A67DE3"/>
    <w:rsid w:val="26B01E7D"/>
    <w:rsid w:val="26D40CCC"/>
    <w:rsid w:val="26D91416"/>
    <w:rsid w:val="27352CB8"/>
    <w:rsid w:val="273A4B96"/>
    <w:rsid w:val="27504784"/>
    <w:rsid w:val="27540474"/>
    <w:rsid w:val="27832B62"/>
    <w:rsid w:val="27947A62"/>
    <w:rsid w:val="27CA2E91"/>
    <w:rsid w:val="27E93B18"/>
    <w:rsid w:val="27F0593B"/>
    <w:rsid w:val="28097AE5"/>
    <w:rsid w:val="281A7107"/>
    <w:rsid w:val="28245FAD"/>
    <w:rsid w:val="2828305A"/>
    <w:rsid w:val="283830E8"/>
    <w:rsid w:val="28400275"/>
    <w:rsid w:val="28536B1A"/>
    <w:rsid w:val="28602F17"/>
    <w:rsid w:val="286D344A"/>
    <w:rsid w:val="28762B58"/>
    <w:rsid w:val="28771AEB"/>
    <w:rsid w:val="28886F98"/>
    <w:rsid w:val="28B205ED"/>
    <w:rsid w:val="28BE53B5"/>
    <w:rsid w:val="28C0720D"/>
    <w:rsid w:val="28CD56B1"/>
    <w:rsid w:val="28DF17A9"/>
    <w:rsid w:val="28E20868"/>
    <w:rsid w:val="28E24368"/>
    <w:rsid w:val="28E82C93"/>
    <w:rsid w:val="28F1531A"/>
    <w:rsid w:val="290D63D4"/>
    <w:rsid w:val="290E3550"/>
    <w:rsid w:val="291466D5"/>
    <w:rsid w:val="29214998"/>
    <w:rsid w:val="29552176"/>
    <w:rsid w:val="295800AF"/>
    <w:rsid w:val="29612098"/>
    <w:rsid w:val="29842E10"/>
    <w:rsid w:val="29EC6760"/>
    <w:rsid w:val="2A0E6FB0"/>
    <w:rsid w:val="2A212606"/>
    <w:rsid w:val="2A410AB5"/>
    <w:rsid w:val="2A6C3064"/>
    <w:rsid w:val="2A7758FE"/>
    <w:rsid w:val="2ABC62BF"/>
    <w:rsid w:val="2AD2570E"/>
    <w:rsid w:val="2B02632C"/>
    <w:rsid w:val="2B0C68E2"/>
    <w:rsid w:val="2B0E18BF"/>
    <w:rsid w:val="2B32051B"/>
    <w:rsid w:val="2B340B7A"/>
    <w:rsid w:val="2B354C34"/>
    <w:rsid w:val="2B7457CE"/>
    <w:rsid w:val="2B7A7C8C"/>
    <w:rsid w:val="2B7B2D8E"/>
    <w:rsid w:val="2BA75344"/>
    <w:rsid w:val="2BD87324"/>
    <w:rsid w:val="2BDD4FB2"/>
    <w:rsid w:val="2BDF3DBA"/>
    <w:rsid w:val="2BF277A1"/>
    <w:rsid w:val="2BF93858"/>
    <w:rsid w:val="2C0613DB"/>
    <w:rsid w:val="2C182148"/>
    <w:rsid w:val="2C1D44B6"/>
    <w:rsid w:val="2C2E5C1E"/>
    <w:rsid w:val="2C3606C6"/>
    <w:rsid w:val="2C3D5D0B"/>
    <w:rsid w:val="2C4079EC"/>
    <w:rsid w:val="2C5E7EF4"/>
    <w:rsid w:val="2C655BF2"/>
    <w:rsid w:val="2C8D7FD0"/>
    <w:rsid w:val="2CDA6448"/>
    <w:rsid w:val="2CDF2158"/>
    <w:rsid w:val="2CE17F2B"/>
    <w:rsid w:val="2CFA0540"/>
    <w:rsid w:val="2D026190"/>
    <w:rsid w:val="2D106788"/>
    <w:rsid w:val="2D540F2A"/>
    <w:rsid w:val="2D894DC7"/>
    <w:rsid w:val="2DA235D3"/>
    <w:rsid w:val="2DAB7518"/>
    <w:rsid w:val="2DBC37BF"/>
    <w:rsid w:val="2DBF7D28"/>
    <w:rsid w:val="2DDA715D"/>
    <w:rsid w:val="2DF929A3"/>
    <w:rsid w:val="2E0F5AB5"/>
    <w:rsid w:val="2E341D4B"/>
    <w:rsid w:val="2E521ACA"/>
    <w:rsid w:val="2EC16774"/>
    <w:rsid w:val="2F2407B3"/>
    <w:rsid w:val="2F240FD6"/>
    <w:rsid w:val="2F5D739D"/>
    <w:rsid w:val="2F6219F6"/>
    <w:rsid w:val="2F796015"/>
    <w:rsid w:val="2F9426C3"/>
    <w:rsid w:val="2FB4336C"/>
    <w:rsid w:val="2FD947ED"/>
    <w:rsid w:val="2FDC1D03"/>
    <w:rsid w:val="2FDE02C2"/>
    <w:rsid w:val="2FE12D11"/>
    <w:rsid w:val="30142CA2"/>
    <w:rsid w:val="30247A01"/>
    <w:rsid w:val="305B0E10"/>
    <w:rsid w:val="305E33E9"/>
    <w:rsid w:val="3063799A"/>
    <w:rsid w:val="307765E8"/>
    <w:rsid w:val="30816A27"/>
    <w:rsid w:val="30861A24"/>
    <w:rsid w:val="30870243"/>
    <w:rsid w:val="309E66AA"/>
    <w:rsid w:val="30A83466"/>
    <w:rsid w:val="30B57C58"/>
    <w:rsid w:val="30C555E6"/>
    <w:rsid w:val="30EE77CB"/>
    <w:rsid w:val="31156332"/>
    <w:rsid w:val="3118459C"/>
    <w:rsid w:val="31385995"/>
    <w:rsid w:val="31397E2E"/>
    <w:rsid w:val="31657014"/>
    <w:rsid w:val="316E393B"/>
    <w:rsid w:val="31996EDA"/>
    <w:rsid w:val="31B42217"/>
    <w:rsid w:val="31B56246"/>
    <w:rsid w:val="31BA5F16"/>
    <w:rsid w:val="31C43A58"/>
    <w:rsid w:val="32016693"/>
    <w:rsid w:val="3203475A"/>
    <w:rsid w:val="3235722E"/>
    <w:rsid w:val="323A509B"/>
    <w:rsid w:val="32472B70"/>
    <w:rsid w:val="325570DC"/>
    <w:rsid w:val="3256000F"/>
    <w:rsid w:val="326205C6"/>
    <w:rsid w:val="32684BDB"/>
    <w:rsid w:val="328A30B7"/>
    <w:rsid w:val="32A8733C"/>
    <w:rsid w:val="32E67F4D"/>
    <w:rsid w:val="33076C2D"/>
    <w:rsid w:val="33112080"/>
    <w:rsid w:val="331F7A33"/>
    <w:rsid w:val="33217D3D"/>
    <w:rsid w:val="33274981"/>
    <w:rsid w:val="334B65DA"/>
    <w:rsid w:val="33767901"/>
    <w:rsid w:val="338D6662"/>
    <w:rsid w:val="33930EFA"/>
    <w:rsid w:val="3397764D"/>
    <w:rsid w:val="33A25843"/>
    <w:rsid w:val="33A8594C"/>
    <w:rsid w:val="33CB1A30"/>
    <w:rsid w:val="33D83E73"/>
    <w:rsid w:val="33F85F6D"/>
    <w:rsid w:val="34042BB6"/>
    <w:rsid w:val="341067E7"/>
    <w:rsid w:val="3413525D"/>
    <w:rsid w:val="341F1E4E"/>
    <w:rsid w:val="34202CEE"/>
    <w:rsid w:val="342A2CB8"/>
    <w:rsid w:val="3439604D"/>
    <w:rsid w:val="3440695B"/>
    <w:rsid w:val="345A18F1"/>
    <w:rsid w:val="34DA0225"/>
    <w:rsid w:val="34E0120D"/>
    <w:rsid w:val="35006059"/>
    <w:rsid w:val="352C14FF"/>
    <w:rsid w:val="352D62CE"/>
    <w:rsid w:val="35613833"/>
    <w:rsid w:val="35BC634C"/>
    <w:rsid w:val="35CE4AFF"/>
    <w:rsid w:val="35E10B5C"/>
    <w:rsid w:val="35FD636A"/>
    <w:rsid w:val="362C11FA"/>
    <w:rsid w:val="365411A8"/>
    <w:rsid w:val="365971AA"/>
    <w:rsid w:val="366542F2"/>
    <w:rsid w:val="36776A52"/>
    <w:rsid w:val="367E7C9A"/>
    <w:rsid w:val="368749FD"/>
    <w:rsid w:val="3691564B"/>
    <w:rsid w:val="36AE0157"/>
    <w:rsid w:val="36B07E73"/>
    <w:rsid w:val="36B57F5D"/>
    <w:rsid w:val="36C25DA5"/>
    <w:rsid w:val="36E421B8"/>
    <w:rsid w:val="36EB5411"/>
    <w:rsid w:val="37022353"/>
    <w:rsid w:val="370F40A6"/>
    <w:rsid w:val="37186611"/>
    <w:rsid w:val="37244103"/>
    <w:rsid w:val="373D1AD0"/>
    <w:rsid w:val="375F51BF"/>
    <w:rsid w:val="37687AEE"/>
    <w:rsid w:val="376C5FFF"/>
    <w:rsid w:val="379D4CBC"/>
    <w:rsid w:val="379E0CD5"/>
    <w:rsid w:val="37B33E41"/>
    <w:rsid w:val="37CD45BC"/>
    <w:rsid w:val="37D22BC5"/>
    <w:rsid w:val="37F256F9"/>
    <w:rsid w:val="37FC0B9A"/>
    <w:rsid w:val="37FE1D3A"/>
    <w:rsid w:val="38040320"/>
    <w:rsid w:val="38065454"/>
    <w:rsid w:val="381A584D"/>
    <w:rsid w:val="381F5AB5"/>
    <w:rsid w:val="384E7A43"/>
    <w:rsid w:val="386302AB"/>
    <w:rsid w:val="386B796B"/>
    <w:rsid w:val="38704D77"/>
    <w:rsid w:val="3884414B"/>
    <w:rsid w:val="38B831F1"/>
    <w:rsid w:val="38BB0DEE"/>
    <w:rsid w:val="38C0664C"/>
    <w:rsid w:val="38C278E3"/>
    <w:rsid w:val="38C37BB7"/>
    <w:rsid w:val="38D05BF5"/>
    <w:rsid w:val="38D52997"/>
    <w:rsid w:val="390F482E"/>
    <w:rsid w:val="39112057"/>
    <w:rsid w:val="397F47CF"/>
    <w:rsid w:val="3981041B"/>
    <w:rsid w:val="39A143B6"/>
    <w:rsid w:val="39D26F9B"/>
    <w:rsid w:val="39D55FF8"/>
    <w:rsid w:val="39E26523"/>
    <w:rsid w:val="39EE43CB"/>
    <w:rsid w:val="3A5F4756"/>
    <w:rsid w:val="3A622DB8"/>
    <w:rsid w:val="3A6514DB"/>
    <w:rsid w:val="3A6A35C8"/>
    <w:rsid w:val="3A775CE5"/>
    <w:rsid w:val="3AB72586"/>
    <w:rsid w:val="3AB8392A"/>
    <w:rsid w:val="3ACC7FD9"/>
    <w:rsid w:val="3AF64C99"/>
    <w:rsid w:val="3B0435B5"/>
    <w:rsid w:val="3B04639E"/>
    <w:rsid w:val="3B0E10DA"/>
    <w:rsid w:val="3B186DB4"/>
    <w:rsid w:val="3B1E0CFC"/>
    <w:rsid w:val="3B4365E8"/>
    <w:rsid w:val="3BA355AE"/>
    <w:rsid w:val="3BC125DB"/>
    <w:rsid w:val="3BDC620D"/>
    <w:rsid w:val="3C0B75BE"/>
    <w:rsid w:val="3C1D17D6"/>
    <w:rsid w:val="3C2534C1"/>
    <w:rsid w:val="3C2C6246"/>
    <w:rsid w:val="3C396CBC"/>
    <w:rsid w:val="3C67468B"/>
    <w:rsid w:val="3C7F3C91"/>
    <w:rsid w:val="3CC21C3C"/>
    <w:rsid w:val="3CE73CA4"/>
    <w:rsid w:val="3D0F0B02"/>
    <w:rsid w:val="3D2F49C4"/>
    <w:rsid w:val="3D496C54"/>
    <w:rsid w:val="3D7179BA"/>
    <w:rsid w:val="3D7520E1"/>
    <w:rsid w:val="3D7B1DD5"/>
    <w:rsid w:val="3DAD595B"/>
    <w:rsid w:val="3DD05392"/>
    <w:rsid w:val="3DD678BA"/>
    <w:rsid w:val="3DDA6394"/>
    <w:rsid w:val="3DE12367"/>
    <w:rsid w:val="3DFE7B48"/>
    <w:rsid w:val="3E0570E2"/>
    <w:rsid w:val="3E52043C"/>
    <w:rsid w:val="3E903783"/>
    <w:rsid w:val="3EB5007C"/>
    <w:rsid w:val="3EEE706F"/>
    <w:rsid w:val="3EF925C3"/>
    <w:rsid w:val="3F1F4F90"/>
    <w:rsid w:val="3F3532B2"/>
    <w:rsid w:val="3F39437E"/>
    <w:rsid w:val="3F3E1FF8"/>
    <w:rsid w:val="3F4B5BF2"/>
    <w:rsid w:val="3F4F34FC"/>
    <w:rsid w:val="3F876E68"/>
    <w:rsid w:val="3F891630"/>
    <w:rsid w:val="3F892AEE"/>
    <w:rsid w:val="3F9C5DF8"/>
    <w:rsid w:val="3F9E685C"/>
    <w:rsid w:val="3FBD700E"/>
    <w:rsid w:val="3FD747B7"/>
    <w:rsid w:val="3FEE790A"/>
    <w:rsid w:val="40017A75"/>
    <w:rsid w:val="40353E97"/>
    <w:rsid w:val="40631515"/>
    <w:rsid w:val="40631D33"/>
    <w:rsid w:val="40946EA9"/>
    <w:rsid w:val="40A02366"/>
    <w:rsid w:val="40C03E10"/>
    <w:rsid w:val="41021137"/>
    <w:rsid w:val="410C7C98"/>
    <w:rsid w:val="410D0626"/>
    <w:rsid w:val="41153EF2"/>
    <w:rsid w:val="41342F68"/>
    <w:rsid w:val="41496596"/>
    <w:rsid w:val="41B33111"/>
    <w:rsid w:val="41BF2269"/>
    <w:rsid w:val="41C3221F"/>
    <w:rsid w:val="41CE5628"/>
    <w:rsid w:val="41D5749A"/>
    <w:rsid w:val="42096165"/>
    <w:rsid w:val="42173F37"/>
    <w:rsid w:val="42227CC1"/>
    <w:rsid w:val="422A0A21"/>
    <w:rsid w:val="4243029A"/>
    <w:rsid w:val="42484072"/>
    <w:rsid w:val="425E3790"/>
    <w:rsid w:val="426C46AD"/>
    <w:rsid w:val="428772D4"/>
    <w:rsid w:val="42962AD2"/>
    <w:rsid w:val="42A86EDD"/>
    <w:rsid w:val="42BE0470"/>
    <w:rsid w:val="42E53ABC"/>
    <w:rsid w:val="42E80CAA"/>
    <w:rsid w:val="42F712D4"/>
    <w:rsid w:val="430E277F"/>
    <w:rsid w:val="4311777A"/>
    <w:rsid w:val="431F21DE"/>
    <w:rsid w:val="4363540E"/>
    <w:rsid w:val="43796FF4"/>
    <w:rsid w:val="437D477A"/>
    <w:rsid w:val="43AE6946"/>
    <w:rsid w:val="43D5333B"/>
    <w:rsid w:val="43F954F0"/>
    <w:rsid w:val="44053AA3"/>
    <w:rsid w:val="440F5A18"/>
    <w:rsid w:val="443A3066"/>
    <w:rsid w:val="443D1A5F"/>
    <w:rsid w:val="444E0491"/>
    <w:rsid w:val="44A863B2"/>
    <w:rsid w:val="44F24E3D"/>
    <w:rsid w:val="44FB7AE1"/>
    <w:rsid w:val="452D6E4C"/>
    <w:rsid w:val="453312BF"/>
    <w:rsid w:val="454330DD"/>
    <w:rsid w:val="454963AE"/>
    <w:rsid w:val="454C1F19"/>
    <w:rsid w:val="454F6F21"/>
    <w:rsid w:val="45507E90"/>
    <w:rsid w:val="4558397A"/>
    <w:rsid w:val="45613EF8"/>
    <w:rsid w:val="459463D0"/>
    <w:rsid w:val="45B06E3E"/>
    <w:rsid w:val="45C2057C"/>
    <w:rsid w:val="45CB7878"/>
    <w:rsid w:val="45DF60EE"/>
    <w:rsid w:val="45E50E1A"/>
    <w:rsid w:val="45E66CDF"/>
    <w:rsid w:val="46063285"/>
    <w:rsid w:val="461B2C41"/>
    <w:rsid w:val="46320017"/>
    <w:rsid w:val="463D3B25"/>
    <w:rsid w:val="464C783B"/>
    <w:rsid w:val="4678140B"/>
    <w:rsid w:val="468F6F62"/>
    <w:rsid w:val="469F2C3A"/>
    <w:rsid w:val="46AE0CE1"/>
    <w:rsid w:val="46C56066"/>
    <w:rsid w:val="46EE0E63"/>
    <w:rsid w:val="473D11E2"/>
    <w:rsid w:val="47410B7C"/>
    <w:rsid w:val="47492F00"/>
    <w:rsid w:val="47791D02"/>
    <w:rsid w:val="47841A42"/>
    <w:rsid w:val="47B91EA3"/>
    <w:rsid w:val="47CF0781"/>
    <w:rsid w:val="47EF0AD2"/>
    <w:rsid w:val="48010A62"/>
    <w:rsid w:val="48014B46"/>
    <w:rsid w:val="48392BB5"/>
    <w:rsid w:val="48420E12"/>
    <w:rsid w:val="486332C8"/>
    <w:rsid w:val="48640104"/>
    <w:rsid w:val="487703E2"/>
    <w:rsid w:val="48847A6C"/>
    <w:rsid w:val="489F1442"/>
    <w:rsid w:val="48AE1315"/>
    <w:rsid w:val="48AF7433"/>
    <w:rsid w:val="48E925E1"/>
    <w:rsid w:val="48F81C86"/>
    <w:rsid w:val="490B6C23"/>
    <w:rsid w:val="4912313D"/>
    <w:rsid w:val="494E7FA9"/>
    <w:rsid w:val="49513C67"/>
    <w:rsid w:val="49646712"/>
    <w:rsid w:val="497D7FEE"/>
    <w:rsid w:val="49D21334"/>
    <w:rsid w:val="49D3125A"/>
    <w:rsid w:val="4A2A3B28"/>
    <w:rsid w:val="4A366D1B"/>
    <w:rsid w:val="4A374D88"/>
    <w:rsid w:val="4A41125C"/>
    <w:rsid w:val="4A477889"/>
    <w:rsid w:val="4A545B3C"/>
    <w:rsid w:val="4A8908AA"/>
    <w:rsid w:val="4A8F3A21"/>
    <w:rsid w:val="4A9947EB"/>
    <w:rsid w:val="4AA836EF"/>
    <w:rsid w:val="4AAB33AA"/>
    <w:rsid w:val="4AC80AE9"/>
    <w:rsid w:val="4ADA3F73"/>
    <w:rsid w:val="4ADB5B6A"/>
    <w:rsid w:val="4B4B6C47"/>
    <w:rsid w:val="4B7D66C9"/>
    <w:rsid w:val="4B820BEE"/>
    <w:rsid w:val="4BBB1923"/>
    <w:rsid w:val="4BEA30BB"/>
    <w:rsid w:val="4BF41C51"/>
    <w:rsid w:val="4BF50E0E"/>
    <w:rsid w:val="4BFC58B6"/>
    <w:rsid w:val="4C040038"/>
    <w:rsid w:val="4C063B7B"/>
    <w:rsid w:val="4C0D22A2"/>
    <w:rsid w:val="4C1B1B5A"/>
    <w:rsid w:val="4C3758BD"/>
    <w:rsid w:val="4C40062D"/>
    <w:rsid w:val="4C406C95"/>
    <w:rsid w:val="4C51628E"/>
    <w:rsid w:val="4C6234C9"/>
    <w:rsid w:val="4C8A6FB7"/>
    <w:rsid w:val="4CAE37E9"/>
    <w:rsid w:val="4CB83E6F"/>
    <w:rsid w:val="4CC05B42"/>
    <w:rsid w:val="4CE7550C"/>
    <w:rsid w:val="4D067803"/>
    <w:rsid w:val="4D0C75EC"/>
    <w:rsid w:val="4D106E7B"/>
    <w:rsid w:val="4D1C5FD5"/>
    <w:rsid w:val="4D656C81"/>
    <w:rsid w:val="4D6A65C4"/>
    <w:rsid w:val="4D703333"/>
    <w:rsid w:val="4D73643E"/>
    <w:rsid w:val="4D7F6E06"/>
    <w:rsid w:val="4D9768DB"/>
    <w:rsid w:val="4D9E06D0"/>
    <w:rsid w:val="4DA73E5A"/>
    <w:rsid w:val="4DAB323B"/>
    <w:rsid w:val="4DAC6620"/>
    <w:rsid w:val="4DD34821"/>
    <w:rsid w:val="4DF65505"/>
    <w:rsid w:val="4E216680"/>
    <w:rsid w:val="4E3156CA"/>
    <w:rsid w:val="4E40551C"/>
    <w:rsid w:val="4E7C4BC7"/>
    <w:rsid w:val="4E850265"/>
    <w:rsid w:val="4E867339"/>
    <w:rsid w:val="4E9D4B87"/>
    <w:rsid w:val="4EB74AD9"/>
    <w:rsid w:val="4EB81A4F"/>
    <w:rsid w:val="4EC234CD"/>
    <w:rsid w:val="4EC87677"/>
    <w:rsid w:val="4ECC4D22"/>
    <w:rsid w:val="4F043EDC"/>
    <w:rsid w:val="4F1D4130"/>
    <w:rsid w:val="4F291632"/>
    <w:rsid w:val="4F2A7373"/>
    <w:rsid w:val="4F2C3C44"/>
    <w:rsid w:val="4F303EFF"/>
    <w:rsid w:val="4F587733"/>
    <w:rsid w:val="4F7B0CED"/>
    <w:rsid w:val="4F9B27AA"/>
    <w:rsid w:val="4FAC7B32"/>
    <w:rsid w:val="50105803"/>
    <w:rsid w:val="501C6191"/>
    <w:rsid w:val="503F551F"/>
    <w:rsid w:val="504D67E5"/>
    <w:rsid w:val="506A47C2"/>
    <w:rsid w:val="50806756"/>
    <w:rsid w:val="509F3EA8"/>
    <w:rsid w:val="50B73A7F"/>
    <w:rsid w:val="50D02697"/>
    <w:rsid w:val="50E916D5"/>
    <w:rsid w:val="50F35D7A"/>
    <w:rsid w:val="50FD7AEE"/>
    <w:rsid w:val="50FE7196"/>
    <w:rsid w:val="51004FAB"/>
    <w:rsid w:val="510E7EA0"/>
    <w:rsid w:val="51126D6C"/>
    <w:rsid w:val="511E4858"/>
    <w:rsid w:val="512B3D57"/>
    <w:rsid w:val="5130427B"/>
    <w:rsid w:val="51375F39"/>
    <w:rsid w:val="51737429"/>
    <w:rsid w:val="519955A9"/>
    <w:rsid w:val="51BC3698"/>
    <w:rsid w:val="51BD5FE6"/>
    <w:rsid w:val="51D21AF5"/>
    <w:rsid w:val="51D80E77"/>
    <w:rsid w:val="51DB1243"/>
    <w:rsid w:val="51EB4138"/>
    <w:rsid w:val="51EC0088"/>
    <w:rsid w:val="520425B7"/>
    <w:rsid w:val="52096157"/>
    <w:rsid w:val="520F5098"/>
    <w:rsid w:val="521458A9"/>
    <w:rsid w:val="521664AC"/>
    <w:rsid w:val="522B5AE8"/>
    <w:rsid w:val="522C02AC"/>
    <w:rsid w:val="523C39B4"/>
    <w:rsid w:val="529A472B"/>
    <w:rsid w:val="529D5D42"/>
    <w:rsid w:val="52BD3390"/>
    <w:rsid w:val="52C5363A"/>
    <w:rsid w:val="52DB0986"/>
    <w:rsid w:val="530C1418"/>
    <w:rsid w:val="5317143E"/>
    <w:rsid w:val="533E59F7"/>
    <w:rsid w:val="53465EB2"/>
    <w:rsid w:val="53474CFB"/>
    <w:rsid w:val="53565A0C"/>
    <w:rsid w:val="535B3266"/>
    <w:rsid w:val="535E3D92"/>
    <w:rsid w:val="535F2C66"/>
    <w:rsid w:val="536E2294"/>
    <w:rsid w:val="537F0B22"/>
    <w:rsid w:val="53930DD7"/>
    <w:rsid w:val="53A90723"/>
    <w:rsid w:val="53B346A4"/>
    <w:rsid w:val="53C7653B"/>
    <w:rsid w:val="53DB757C"/>
    <w:rsid w:val="53E03940"/>
    <w:rsid w:val="53E13EF1"/>
    <w:rsid w:val="53E767AC"/>
    <w:rsid w:val="53FB57EB"/>
    <w:rsid w:val="540971A0"/>
    <w:rsid w:val="5415258D"/>
    <w:rsid w:val="542277E5"/>
    <w:rsid w:val="542741A6"/>
    <w:rsid w:val="54312AFF"/>
    <w:rsid w:val="54455D13"/>
    <w:rsid w:val="54A46F71"/>
    <w:rsid w:val="54A66D97"/>
    <w:rsid w:val="54B473E8"/>
    <w:rsid w:val="54E8691E"/>
    <w:rsid w:val="55134EE2"/>
    <w:rsid w:val="553722D6"/>
    <w:rsid w:val="553F1AF7"/>
    <w:rsid w:val="55457757"/>
    <w:rsid w:val="556E65B0"/>
    <w:rsid w:val="559012EA"/>
    <w:rsid w:val="55AD0FC3"/>
    <w:rsid w:val="55D35741"/>
    <w:rsid w:val="55D36EE2"/>
    <w:rsid w:val="55F10776"/>
    <w:rsid w:val="55F97162"/>
    <w:rsid w:val="560420FD"/>
    <w:rsid w:val="560C5D5A"/>
    <w:rsid w:val="562566F8"/>
    <w:rsid w:val="563518D6"/>
    <w:rsid w:val="563C395E"/>
    <w:rsid w:val="56446676"/>
    <w:rsid w:val="56472243"/>
    <w:rsid w:val="565A027A"/>
    <w:rsid w:val="5664186E"/>
    <w:rsid w:val="56937BF6"/>
    <w:rsid w:val="56AC13CF"/>
    <w:rsid w:val="56B32A46"/>
    <w:rsid w:val="56B97CF3"/>
    <w:rsid w:val="56CB57C1"/>
    <w:rsid w:val="56D50E16"/>
    <w:rsid w:val="56E03314"/>
    <w:rsid w:val="56FD401A"/>
    <w:rsid w:val="572617AA"/>
    <w:rsid w:val="572A0E95"/>
    <w:rsid w:val="573F6DD8"/>
    <w:rsid w:val="57893ACF"/>
    <w:rsid w:val="578C2F55"/>
    <w:rsid w:val="57A546BF"/>
    <w:rsid w:val="57B43751"/>
    <w:rsid w:val="57DB6DD8"/>
    <w:rsid w:val="57EE21B6"/>
    <w:rsid w:val="57F82AAF"/>
    <w:rsid w:val="581C3C09"/>
    <w:rsid w:val="584652FE"/>
    <w:rsid w:val="584F5DE1"/>
    <w:rsid w:val="5857140E"/>
    <w:rsid w:val="58592DD6"/>
    <w:rsid w:val="586832DF"/>
    <w:rsid w:val="5887108D"/>
    <w:rsid w:val="58917FD5"/>
    <w:rsid w:val="589A2EC5"/>
    <w:rsid w:val="58B2436F"/>
    <w:rsid w:val="58B763DC"/>
    <w:rsid w:val="58BA7656"/>
    <w:rsid w:val="58CC546E"/>
    <w:rsid w:val="58E544F0"/>
    <w:rsid w:val="5930668D"/>
    <w:rsid w:val="59323C70"/>
    <w:rsid w:val="5933097A"/>
    <w:rsid w:val="59B02286"/>
    <w:rsid w:val="59C513E9"/>
    <w:rsid w:val="59C87EE8"/>
    <w:rsid w:val="59D66F75"/>
    <w:rsid w:val="59E827B0"/>
    <w:rsid w:val="59EA38BA"/>
    <w:rsid w:val="59EF21B3"/>
    <w:rsid w:val="59F3510C"/>
    <w:rsid w:val="5A007BCA"/>
    <w:rsid w:val="5A250E62"/>
    <w:rsid w:val="5A330F10"/>
    <w:rsid w:val="5A3C7F0B"/>
    <w:rsid w:val="5A481FBF"/>
    <w:rsid w:val="5A51635D"/>
    <w:rsid w:val="5A684C34"/>
    <w:rsid w:val="5A6A0CF1"/>
    <w:rsid w:val="5A985D7E"/>
    <w:rsid w:val="5AB74291"/>
    <w:rsid w:val="5AC151E3"/>
    <w:rsid w:val="5AC547CA"/>
    <w:rsid w:val="5ADE4DE1"/>
    <w:rsid w:val="5B2772A0"/>
    <w:rsid w:val="5B2B5DF9"/>
    <w:rsid w:val="5B3D7D0A"/>
    <w:rsid w:val="5B841BC5"/>
    <w:rsid w:val="5B887294"/>
    <w:rsid w:val="5BC22753"/>
    <w:rsid w:val="5BCA4E13"/>
    <w:rsid w:val="5BED365D"/>
    <w:rsid w:val="5BF1520B"/>
    <w:rsid w:val="5C0401A3"/>
    <w:rsid w:val="5C1C1C30"/>
    <w:rsid w:val="5C29394E"/>
    <w:rsid w:val="5C34477C"/>
    <w:rsid w:val="5C3611A0"/>
    <w:rsid w:val="5C613F3B"/>
    <w:rsid w:val="5C622D94"/>
    <w:rsid w:val="5C6A42EF"/>
    <w:rsid w:val="5C9B769D"/>
    <w:rsid w:val="5CA9380D"/>
    <w:rsid w:val="5CAB6486"/>
    <w:rsid w:val="5CB47B0B"/>
    <w:rsid w:val="5CD239E8"/>
    <w:rsid w:val="5CD77279"/>
    <w:rsid w:val="5CD856ED"/>
    <w:rsid w:val="5CEF3761"/>
    <w:rsid w:val="5D171741"/>
    <w:rsid w:val="5D255FC9"/>
    <w:rsid w:val="5D560A1A"/>
    <w:rsid w:val="5D711295"/>
    <w:rsid w:val="5D7671AD"/>
    <w:rsid w:val="5D7B4C20"/>
    <w:rsid w:val="5D9C5730"/>
    <w:rsid w:val="5DA24DA9"/>
    <w:rsid w:val="5DA403E2"/>
    <w:rsid w:val="5DA8372F"/>
    <w:rsid w:val="5DA9735F"/>
    <w:rsid w:val="5DF11BC4"/>
    <w:rsid w:val="5E1A77BD"/>
    <w:rsid w:val="5E397245"/>
    <w:rsid w:val="5E3E5824"/>
    <w:rsid w:val="5E4B236E"/>
    <w:rsid w:val="5E4C75DC"/>
    <w:rsid w:val="5E53232E"/>
    <w:rsid w:val="5E6D54F3"/>
    <w:rsid w:val="5E7C7DD8"/>
    <w:rsid w:val="5EB2025C"/>
    <w:rsid w:val="5EB42861"/>
    <w:rsid w:val="5EC93B48"/>
    <w:rsid w:val="5ED115B9"/>
    <w:rsid w:val="5EEB2205"/>
    <w:rsid w:val="5EF771A4"/>
    <w:rsid w:val="5F1B5191"/>
    <w:rsid w:val="5F50469F"/>
    <w:rsid w:val="5F580611"/>
    <w:rsid w:val="5F5B0048"/>
    <w:rsid w:val="5F7B540B"/>
    <w:rsid w:val="5FAA1FD8"/>
    <w:rsid w:val="5FAE4C18"/>
    <w:rsid w:val="5FC06A6A"/>
    <w:rsid w:val="5FD10BB2"/>
    <w:rsid w:val="5FF35853"/>
    <w:rsid w:val="5FF571BF"/>
    <w:rsid w:val="600025DB"/>
    <w:rsid w:val="6011760B"/>
    <w:rsid w:val="60123B4A"/>
    <w:rsid w:val="60407A8C"/>
    <w:rsid w:val="60476DBF"/>
    <w:rsid w:val="60611100"/>
    <w:rsid w:val="608D147A"/>
    <w:rsid w:val="609B751B"/>
    <w:rsid w:val="60A8007F"/>
    <w:rsid w:val="60E916AC"/>
    <w:rsid w:val="617742BF"/>
    <w:rsid w:val="617C0D98"/>
    <w:rsid w:val="61BC1908"/>
    <w:rsid w:val="61EB5224"/>
    <w:rsid w:val="61F4158F"/>
    <w:rsid w:val="620B2FC1"/>
    <w:rsid w:val="623E4088"/>
    <w:rsid w:val="6273655F"/>
    <w:rsid w:val="6274461E"/>
    <w:rsid w:val="62A557E6"/>
    <w:rsid w:val="62B44961"/>
    <w:rsid w:val="62CD60B5"/>
    <w:rsid w:val="62DE444C"/>
    <w:rsid w:val="62F46778"/>
    <w:rsid w:val="63020F4D"/>
    <w:rsid w:val="630B50C4"/>
    <w:rsid w:val="63210468"/>
    <w:rsid w:val="634E362F"/>
    <w:rsid w:val="63680F2E"/>
    <w:rsid w:val="63912023"/>
    <w:rsid w:val="63995761"/>
    <w:rsid w:val="63A86880"/>
    <w:rsid w:val="63BD4E07"/>
    <w:rsid w:val="63C0517E"/>
    <w:rsid w:val="63CC19A6"/>
    <w:rsid w:val="63D56148"/>
    <w:rsid w:val="642A42EE"/>
    <w:rsid w:val="64557108"/>
    <w:rsid w:val="646E4BF6"/>
    <w:rsid w:val="64897885"/>
    <w:rsid w:val="64A82552"/>
    <w:rsid w:val="64AF4712"/>
    <w:rsid w:val="64B66DA2"/>
    <w:rsid w:val="64C7424B"/>
    <w:rsid w:val="64D14FF4"/>
    <w:rsid w:val="64D47373"/>
    <w:rsid w:val="64FD71E3"/>
    <w:rsid w:val="65025D9C"/>
    <w:rsid w:val="650B0850"/>
    <w:rsid w:val="653036E0"/>
    <w:rsid w:val="653A056C"/>
    <w:rsid w:val="65503B10"/>
    <w:rsid w:val="65520CCD"/>
    <w:rsid w:val="656C5B97"/>
    <w:rsid w:val="656E28EE"/>
    <w:rsid w:val="657426E2"/>
    <w:rsid w:val="658228DF"/>
    <w:rsid w:val="658F6078"/>
    <w:rsid w:val="65F74767"/>
    <w:rsid w:val="66530A1A"/>
    <w:rsid w:val="6662754E"/>
    <w:rsid w:val="666B7B3E"/>
    <w:rsid w:val="66742F71"/>
    <w:rsid w:val="66C75F76"/>
    <w:rsid w:val="66D3526A"/>
    <w:rsid w:val="66DE5666"/>
    <w:rsid w:val="66E05B7B"/>
    <w:rsid w:val="670855B0"/>
    <w:rsid w:val="67240549"/>
    <w:rsid w:val="673C44C9"/>
    <w:rsid w:val="674D045E"/>
    <w:rsid w:val="67542361"/>
    <w:rsid w:val="677C5139"/>
    <w:rsid w:val="679300D1"/>
    <w:rsid w:val="679900BB"/>
    <w:rsid w:val="679A78C8"/>
    <w:rsid w:val="679E2775"/>
    <w:rsid w:val="67A454FF"/>
    <w:rsid w:val="67C36227"/>
    <w:rsid w:val="67C438B3"/>
    <w:rsid w:val="67F9172B"/>
    <w:rsid w:val="68021564"/>
    <w:rsid w:val="68047915"/>
    <w:rsid w:val="680E54DD"/>
    <w:rsid w:val="681C372A"/>
    <w:rsid w:val="6828693D"/>
    <w:rsid w:val="68581B96"/>
    <w:rsid w:val="685A5F2D"/>
    <w:rsid w:val="685C7D2C"/>
    <w:rsid w:val="688733E2"/>
    <w:rsid w:val="688B31DC"/>
    <w:rsid w:val="6895012F"/>
    <w:rsid w:val="68BB0DB2"/>
    <w:rsid w:val="68F87EC9"/>
    <w:rsid w:val="691010B2"/>
    <w:rsid w:val="69385E6F"/>
    <w:rsid w:val="695D345C"/>
    <w:rsid w:val="696E712C"/>
    <w:rsid w:val="69867CE9"/>
    <w:rsid w:val="699C554E"/>
    <w:rsid w:val="69E72F18"/>
    <w:rsid w:val="69F044E9"/>
    <w:rsid w:val="6A5236BF"/>
    <w:rsid w:val="6A823A24"/>
    <w:rsid w:val="6A8A41AD"/>
    <w:rsid w:val="6A923439"/>
    <w:rsid w:val="6AB8361C"/>
    <w:rsid w:val="6AB85DA0"/>
    <w:rsid w:val="6AD2188F"/>
    <w:rsid w:val="6AD76C4A"/>
    <w:rsid w:val="6AE676F0"/>
    <w:rsid w:val="6B1054D5"/>
    <w:rsid w:val="6B1B6F9D"/>
    <w:rsid w:val="6B1F6289"/>
    <w:rsid w:val="6B376C47"/>
    <w:rsid w:val="6B61182E"/>
    <w:rsid w:val="6B885FDD"/>
    <w:rsid w:val="6BBC7C3D"/>
    <w:rsid w:val="6C205315"/>
    <w:rsid w:val="6C254A86"/>
    <w:rsid w:val="6C426EE7"/>
    <w:rsid w:val="6C600D76"/>
    <w:rsid w:val="6C7410E0"/>
    <w:rsid w:val="6C7A646F"/>
    <w:rsid w:val="6CB93DED"/>
    <w:rsid w:val="6CC572F3"/>
    <w:rsid w:val="6CE86D0B"/>
    <w:rsid w:val="6D0D594E"/>
    <w:rsid w:val="6D176D30"/>
    <w:rsid w:val="6D234631"/>
    <w:rsid w:val="6D2D3733"/>
    <w:rsid w:val="6D4419D9"/>
    <w:rsid w:val="6D4753C5"/>
    <w:rsid w:val="6D9C7E40"/>
    <w:rsid w:val="6DA32E66"/>
    <w:rsid w:val="6DC82986"/>
    <w:rsid w:val="6DCF7A42"/>
    <w:rsid w:val="6DF650C2"/>
    <w:rsid w:val="6E1075EA"/>
    <w:rsid w:val="6E270451"/>
    <w:rsid w:val="6E282E9B"/>
    <w:rsid w:val="6E553763"/>
    <w:rsid w:val="6E560020"/>
    <w:rsid w:val="6E602960"/>
    <w:rsid w:val="6E670E7A"/>
    <w:rsid w:val="6EA5748F"/>
    <w:rsid w:val="6EAF6845"/>
    <w:rsid w:val="6EBD2CFC"/>
    <w:rsid w:val="6EC178B9"/>
    <w:rsid w:val="6ED21161"/>
    <w:rsid w:val="6F0D1BEC"/>
    <w:rsid w:val="6F3F2C0C"/>
    <w:rsid w:val="6F46642B"/>
    <w:rsid w:val="6F5D31C7"/>
    <w:rsid w:val="6F712087"/>
    <w:rsid w:val="6F722122"/>
    <w:rsid w:val="6F9B268B"/>
    <w:rsid w:val="6FDC155E"/>
    <w:rsid w:val="6FF713F4"/>
    <w:rsid w:val="6FFE18DC"/>
    <w:rsid w:val="702E7D37"/>
    <w:rsid w:val="70426274"/>
    <w:rsid w:val="70564C7F"/>
    <w:rsid w:val="70622306"/>
    <w:rsid w:val="70B03028"/>
    <w:rsid w:val="70DD3E0A"/>
    <w:rsid w:val="711040B7"/>
    <w:rsid w:val="713F6869"/>
    <w:rsid w:val="7143250B"/>
    <w:rsid w:val="714C3E44"/>
    <w:rsid w:val="71573B9F"/>
    <w:rsid w:val="717F7B61"/>
    <w:rsid w:val="71842A21"/>
    <w:rsid w:val="719B3355"/>
    <w:rsid w:val="71AB4EC2"/>
    <w:rsid w:val="71AE63DE"/>
    <w:rsid w:val="71BC5BAF"/>
    <w:rsid w:val="71C46173"/>
    <w:rsid w:val="71D16466"/>
    <w:rsid w:val="71E32427"/>
    <w:rsid w:val="71E67FE0"/>
    <w:rsid w:val="71ED6009"/>
    <w:rsid w:val="72036F91"/>
    <w:rsid w:val="721B6D5A"/>
    <w:rsid w:val="723E6561"/>
    <w:rsid w:val="7248768B"/>
    <w:rsid w:val="728A2B09"/>
    <w:rsid w:val="728B2301"/>
    <w:rsid w:val="72A2000E"/>
    <w:rsid w:val="72C308C2"/>
    <w:rsid w:val="72F5502B"/>
    <w:rsid w:val="734C5945"/>
    <w:rsid w:val="73502A6C"/>
    <w:rsid w:val="73646C5D"/>
    <w:rsid w:val="737D4746"/>
    <w:rsid w:val="73A61721"/>
    <w:rsid w:val="73B5505A"/>
    <w:rsid w:val="73E83314"/>
    <w:rsid w:val="73FC3673"/>
    <w:rsid w:val="740530F2"/>
    <w:rsid w:val="74180638"/>
    <w:rsid w:val="741B5607"/>
    <w:rsid w:val="74517CC6"/>
    <w:rsid w:val="74524EED"/>
    <w:rsid w:val="745254BB"/>
    <w:rsid w:val="745A5DC2"/>
    <w:rsid w:val="745C4A3D"/>
    <w:rsid w:val="7471111E"/>
    <w:rsid w:val="74721D71"/>
    <w:rsid w:val="74B1355A"/>
    <w:rsid w:val="74B6317F"/>
    <w:rsid w:val="74C204A9"/>
    <w:rsid w:val="74D141B0"/>
    <w:rsid w:val="74D71560"/>
    <w:rsid w:val="74D8638F"/>
    <w:rsid w:val="74FF5339"/>
    <w:rsid w:val="750C65B3"/>
    <w:rsid w:val="75325D62"/>
    <w:rsid w:val="755C7D0F"/>
    <w:rsid w:val="75AD5E2B"/>
    <w:rsid w:val="75B5638B"/>
    <w:rsid w:val="75D119D5"/>
    <w:rsid w:val="75E7301A"/>
    <w:rsid w:val="75EF348B"/>
    <w:rsid w:val="75F108B0"/>
    <w:rsid w:val="75F361D2"/>
    <w:rsid w:val="7620324D"/>
    <w:rsid w:val="76373CDA"/>
    <w:rsid w:val="763D287D"/>
    <w:rsid w:val="76600ABB"/>
    <w:rsid w:val="76711C5C"/>
    <w:rsid w:val="76956A3C"/>
    <w:rsid w:val="76B71D79"/>
    <w:rsid w:val="76C8441B"/>
    <w:rsid w:val="76E3678B"/>
    <w:rsid w:val="76F74815"/>
    <w:rsid w:val="77087721"/>
    <w:rsid w:val="77160DA9"/>
    <w:rsid w:val="772058D3"/>
    <w:rsid w:val="774B09C4"/>
    <w:rsid w:val="774D57A4"/>
    <w:rsid w:val="777F4369"/>
    <w:rsid w:val="778D75C4"/>
    <w:rsid w:val="779348BB"/>
    <w:rsid w:val="77937BAD"/>
    <w:rsid w:val="77A01BDA"/>
    <w:rsid w:val="77AA63C1"/>
    <w:rsid w:val="77B4541B"/>
    <w:rsid w:val="77F12738"/>
    <w:rsid w:val="78167D82"/>
    <w:rsid w:val="781A48E4"/>
    <w:rsid w:val="782049EC"/>
    <w:rsid w:val="78273326"/>
    <w:rsid w:val="784C0C88"/>
    <w:rsid w:val="785774B3"/>
    <w:rsid w:val="78676AC7"/>
    <w:rsid w:val="786D0926"/>
    <w:rsid w:val="78941235"/>
    <w:rsid w:val="78AB3D28"/>
    <w:rsid w:val="78C614EE"/>
    <w:rsid w:val="79115A11"/>
    <w:rsid w:val="792432E7"/>
    <w:rsid w:val="795D54AE"/>
    <w:rsid w:val="79854A4F"/>
    <w:rsid w:val="79AF2ABA"/>
    <w:rsid w:val="79BC017C"/>
    <w:rsid w:val="79D03C0E"/>
    <w:rsid w:val="79D34AE1"/>
    <w:rsid w:val="79E460B4"/>
    <w:rsid w:val="7A00084A"/>
    <w:rsid w:val="7A0D233D"/>
    <w:rsid w:val="7A356BB2"/>
    <w:rsid w:val="7A4E4A3C"/>
    <w:rsid w:val="7A644113"/>
    <w:rsid w:val="7A6B1C66"/>
    <w:rsid w:val="7A7A73F2"/>
    <w:rsid w:val="7A8219A8"/>
    <w:rsid w:val="7AB6616E"/>
    <w:rsid w:val="7AC558A6"/>
    <w:rsid w:val="7AC826B4"/>
    <w:rsid w:val="7AC878BC"/>
    <w:rsid w:val="7AD74FBD"/>
    <w:rsid w:val="7AEA1374"/>
    <w:rsid w:val="7B222ECA"/>
    <w:rsid w:val="7B23489E"/>
    <w:rsid w:val="7B2E771F"/>
    <w:rsid w:val="7B3665D8"/>
    <w:rsid w:val="7B36760F"/>
    <w:rsid w:val="7B4D7E0E"/>
    <w:rsid w:val="7B5A1010"/>
    <w:rsid w:val="7B7A270C"/>
    <w:rsid w:val="7BCF0EB0"/>
    <w:rsid w:val="7BD47CD2"/>
    <w:rsid w:val="7BF66529"/>
    <w:rsid w:val="7C0C1FA3"/>
    <w:rsid w:val="7C0C39DC"/>
    <w:rsid w:val="7C1B06E0"/>
    <w:rsid w:val="7C2A5BC5"/>
    <w:rsid w:val="7C512AE4"/>
    <w:rsid w:val="7C7400B6"/>
    <w:rsid w:val="7C8F6D34"/>
    <w:rsid w:val="7C9869C4"/>
    <w:rsid w:val="7CBB2E4C"/>
    <w:rsid w:val="7CBD52B9"/>
    <w:rsid w:val="7CD05681"/>
    <w:rsid w:val="7CD36D3B"/>
    <w:rsid w:val="7D097327"/>
    <w:rsid w:val="7D127E8B"/>
    <w:rsid w:val="7D523AFB"/>
    <w:rsid w:val="7D5E0064"/>
    <w:rsid w:val="7DCD7512"/>
    <w:rsid w:val="7DDD7712"/>
    <w:rsid w:val="7DDF33A8"/>
    <w:rsid w:val="7DFE0AE4"/>
    <w:rsid w:val="7E024095"/>
    <w:rsid w:val="7E215319"/>
    <w:rsid w:val="7E223780"/>
    <w:rsid w:val="7E5D7175"/>
    <w:rsid w:val="7E943E17"/>
    <w:rsid w:val="7EB51F05"/>
    <w:rsid w:val="7F064465"/>
    <w:rsid w:val="7F175F95"/>
    <w:rsid w:val="7F1946AF"/>
    <w:rsid w:val="7F2F040B"/>
    <w:rsid w:val="7F67572F"/>
    <w:rsid w:val="7F705BE9"/>
    <w:rsid w:val="7F9D3848"/>
    <w:rsid w:val="7FA90B80"/>
    <w:rsid w:val="7FBC5936"/>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iPriority="0" w:semiHidden="0" w:name="header"/>
    <w:lsdException w:qFormat="1"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qFormat="1" w:unhideWhenUsed="0" w:uiPriority="0" w:semiHidden="0"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qFormat="1" w:unhideWhenUsed="0" w:uiPriority="0" w:semiHidden="0"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qFormat="1" w:unhideWhenUsed="0" w:uiPriority="0" w:semiHidden="0" w:name="Body Text First Indent 2"/>
    <w:lsdException w:uiPriority="99" w:name="Note Heading"/>
    <w:lsdException w:qFormat="1" w:unhideWhenUsed="0" w:uiPriority="0" w:semiHidden="0" w:name="Body Text 2"/>
    <w:lsdException w:qFormat="1" w:uiPriority="99"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iPriority="99"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name="Document Map"/>
    <w:lsdException w:qFormat="1" w:unhideWhenUsed="0" w:uiPriority="0"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autoSpaceDE w:val="0"/>
      <w:autoSpaceDN w:val="0"/>
      <w:adjustRightInd w:val="0"/>
      <w:spacing w:beforeLines="50" w:afterLines="50" w:line="415" w:lineRule="auto"/>
      <w:ind w:firstLine="200" w:firstLineChars="200"/>
    </w:pPr>
    <w:rPr>
      <w:rFonts w:ascii="宋体" w:hAnsi="Times New Roman" w:eastAsia="宋体" w:cs="Times New Roman"/>
      <w:sz w:val="24"/>
      <w:szCs w:val="24"/>
      <w:lang w:val="en-US" w:eastAsia="zh-CN" w:bidi="ar-SA"/>
    </w:rPr>
  </w:style>
  <w:style w:type="paragraph" w:styleId="3">
    <w:name w:val="heading 1"/>
    <w:basedOn w:val="1"/>
    <w:next w:val="1"/>
    <w:link w:val="54"/>
    <w:qFormat/>
    <w:uiPriority w:val="0"/>
    <w:pPr>
      <w:keepNext/>
      <w:tabs>
        <w:tab w:val="left" w:pos="0"/>
      </w:tabs>
      <w:autoSpaceDE/>
      <w:autoSpaceDN/>
      <w:adjustRightInd/>
      <w:spacing w:before="50" w:after="50"/>
      <w:ind w:firstLine="0" w:firstLineChars="0"/>
      <w:outlineLvl w:val="0"/>
    </w:pPr>
    <w:rPr>
      <w:rFonts w:hAnsi="宋体" w:eastAsiaTheme="majorEastAsia"/>
      <w:b/>
      <w:bCs/>
      <w:color w:val="000000"/>
      <w:spacing w:val="10"/>
      <w:kern w:val="2"/>
      <w:sz w:val="36"/>
      <w:szCs w:val="36"/>
    </w:rPr>
  </w:style>
  <w:style w:type="paragraph" w:styleId="4">
    <w:name w:val="heading 2"/>
    <w:basedOn w:val="1"/>
    <w:next w:val="1"/>
    <w:link w:val="55"/>
    <w:qFormat/>
    <w:uiPriority w:val="0"/>
    <w:pPr>
      <w:keepNext/>
      <w:keepLines/>
      <w:tabs>
        <w:tab w:val="left" w:pos="0"/>
      </w:tabs>
      <w:ind w:firstLine="0" w:firstLineChars="0"/>
      <w:outlineLvl w:val="1"/>
    </w:pPr>
    <w:rPr>
      <w:rFonts w:ascii="Arial" w:hAnsi="Arial" w:eastAsiaTheme="majorEastAsia"/>
      <w:b/>
      <w:bCs/>
      <w:sz w:val="32"/>
      <w:szCs w:val="32"/>
    </w:rPr>
  </w:style>
  <w:style w:type="paragraph" w:styleId="5">
    <w:name w:val="heading 3"/>
    <w:basedOn w:val="1"/>
    <w:next w:val="1"/>
    <w:link w:val="56"/>
    <w:unhideWhenUsed/>
    <w:qFormat/>
    <w:uiPriority w:val="0"/>
    <w:pPr>
      <w:keepNext/>
      <w:keepLines/>
      <w:spacing w:before="260" w:after="260" w:line="416" w:lineRule="auto"/>
      <w:outlineLvl w:val="2"/>
    </w:pPr>
    <w:rPr>
      <w:b/>
      <w:bCs/>
      <w:sz w:val="32"/>
      <w:szCs w:val="32"/>
    </w:rPr>
  </w:style>
  <w:style w:type="paragraph" w:styleId="6">
    <w:name w:val="heading 4"/>
    <w:basedOn w:val="1"/>
    <w:next w:val="1"/>
    <w:link w:val="139"/>
    <w:qFormat/>
    <w:uiPriority w:val="0"/>
    <w:pPr>
      <w:autoSpaceDE/>
      <w:autoSpaceDN/>
      <w:adjustRightInd/>
      <w:spacing w:line="300" w:lineRule="auto"/>
      <w:ind w:left="851" w:hanging="851" w:firstLineChars="0"/>
      <w:jc w:val="both"/>
      <w:outlineLvl w:val="3"/>
    </w:pPr>
    <w:rPr>
      <w:rFonts w:ascii="Times New Roman"/>
      <w:b/>
      <w:kern w:val="2"/>
    </w:rPr>
  </w:style>
  <w:style w:type="paragraph" w:styleId="7">
    <w:name w:val="heading 5"/>
    <w:basedOn w:val="1"/>
    <w:next w:val="1"/>
    <w:link w:val="57"/>
    <w:qFormat/>
    <w:uiPriority w:val="0"/>
    <w:pPr>
      <w:keepNext/>
      <w:keepLines/>
      <w:widowControl/>
      <w:tabs>
        <w:tab w:val="left" w:pos="980"/>
      </w:tabs>
      <w:overflowPunct w:val="0"/>
      <w:autoSpaceDE/>
      <w:autoSpaceDN/>
      <w:spacing w:before="60" w:after="60" w:line="360" w:lineRule="auto"/>
      <w:ind w:firstLine="0" w:firstLineChars="0"/>
      <w:jc w:val="both"/>
      <w:textAlignment w:val="baseline"/>
      <w:outlineLvl w:val="4"/>
    </w:pPr>
    <w:rPr>
      <w:rFonts w:ascii="Times New Roman"/>
      <w:spacing w:val="14"/>
      <w:kern w:val="24"/>
      <w:szCs w:val="20"/>
    </w:rPr>
  </w:style>
  <w:style w:type="paragraph" w:styleId="8">
    <w:name w:val="heading 6"/>
    <w:basedOn w:val="1"/>
    <w:next w:val="9"/>
    <w:link w:val="59"/>
    <w:qFormat/>
    <w:uiPriority w:val="0"/>
    <w:pPr>
      <w:keepNext/>
      <w:keepLines/>
      <w:widowControl/>
      <w:autoSpaceDE/>
      <w:autoSpaceDN/>
      <w:adjustRightInd/>
      <w:spacing w:before="240" w:after="64" w:line="319" w:lineRule="auto"/>
      <w:ind w:left="1152" w:hanging="1152" w:firstLineChars="0"/>
      <w:outlineLvl w:val="5"/>
    </w:pPr>
    <w:rPr>
      <w:rFonts w:ascii="Times New Roman"/>
      <w:sz w:val="28"/>
      <w:szCs w:val="20"/>
    </w:rPr>
  </w:style>
  <w:style w:type="paragraph" w:styleId="10">
    <w:name w:val="heading 7"/>
    <w:basedOn w:val="1"/>
    <w:next w:val="1"/>
    <w:link w:val="60"/>
    <w:qFormat/>
    <w:uiPriority w:val="0"/>
    <w:pPr>
      <w:keepNext/>
      <w:keepLines/>
      <w:autoSpaceDE/>
      <w:autoSpaceDN/>
      <w:adjustRightInd/>
      <w:spacing w:before="240" w:after="64" w:line="320" w:lineRule="auto"/>
      <w:ind w:firstLine="0" w:firstLineChars="0"/>
      <w:jc w:val="both"/>
      <w:outlineLvl w:val="6"/>
    </w:pPr>
    <w:rPr>
      <w:rFonts w:ascii="Times New Roman"/>
      <w:b/>
      <w:bCs/>
      <w:kern w:val="2"/>
    </w:rPr>
  </w:style>
  <w:style w:type="paragraph" w:styleId="11">
    <w:name w:val="heading 8"/>
    <w:basedOn w:val="1"/>
    <w:next w:val="9"/>
    <w:link w:val="61"/>
    <w:qFormat/>
    <w:uiPriority w:val="0"/>
    <w:pPr>
      <w:keepNext/>
      <w:keepLines/>
      <w:widowControl/>
      <w:autoSpaceDE/>
      <w:autoSpaceDN/>
      <w:adjustRightInd/>
      <w:spacing w:line="360" w:lineRule="auto"/>
      <w:ind w:left="1440" w:hanging="1440" w:firstLineChars="0"/>
      <w:outlineLvl w:val="7"/>
    </w:pPr>
    <w:rPr>
      <w:rFonts w:ascii="Times New Roman"/>
      <w:sz w:val="28"/>
      <w:szCs w:val="20"/>
    </w:rPr>
  </w:style>
  <w:style w:type="paragraph" w:styleId="12">
    <w:name w:val="heading 9"/>
    <w:basedOn w:val="1"/>
    <w:next w:val="1"/>
    <w:link w:val="62"/>
    <w:qFormat/>
    <w:uiPriority w:val="0"/>
    <w:pPr>
      <w:keepNext/>
      <w:keepLines/>
      <w:autoSpaceDE/>
      <w:autoSpaceDN/>
      <w:adjustRightInd/>
      <w:spacing w:before="240" w:after="64" w:line="320" w:lineRule="auto"/>
      <w:ind w:firstLine="0" w:firstLineChars="0"/>
      <w:jc w:val="both"/>
      <w:outlineLvl w:val="8"/>
    </w:pPr>
    <w:rPr>
      <w:rFonts w:ascii="Arial" w:hAnsi="Arial" w:eastAsia="黑体"/>
      <w:kern w:val="2"/>
      <w:sz w:val="21"/>
      <w:szCs w:val="21"/>
    </w:rPr>
  </w:style>
  <w:style w:type="character" w:default="1" w:styleId="46">
    <w:name w:val="Default Paragraph Font"/>
    <w:semiHidden/>
    <w:unhideWhenUsed/>
    <w:qFormat/>
    <w:uiPriority w:val="1"/>
  </w:style>
  <w:style w:type="table" w:default="1" w:styleId="44">
    <w:name w:val="Normal Table"/>
    <w:semiHidden/>
    <w:unhideWhenUsed/>
    <w:qFormat/>
    <w:uiPriority w:val="99"/>
    <w:tblPr>
      <w:tblCellMar>
        <w:top w:w="0" w:type="dxa"/>
        <w:left w:w="108" w:type="dxa"/>
        <w:bottom w:w="0" w:type="dxa"/>
        <w:right w:w="108" w:type="dxa"/>
      </w:tblCellMar>
    </w:tblPr>
  </w:style>
  <w:style w:type="paragraph" w:customStyle="1" w:styleId="2">
    <w:name w:val="Default"/>
    <w:qFormat/>
    <w:uiPriority w:val="0"/>
    <w:pPr>
      <w:widowControl w:val="0"/>
      <w:autoSpaceDE w:val="0"/>
      <w:autoSpaceDN w:val="0"/>
      <w:adjustRightInd w:val="0"/>
      <w:spacing w:beforeLines="50" w:afterLines="50" w:line="415" w:lineRule="auto"/>
      <w:ind w:firstLine="641"/>
    </w:pPr>
    <w:rPr>
      <w:rFonts w:ascii="宋体" w:hAnsi="Times New Roman" w:eastAsia="宋体" w:cs="宋体"/>
      <w:color w:val="000000"/>
      <w:sz w:val="24"/>
      <w:szCs w:val="24"/>
      <w:lang w:val="en-US" w:eastAsia="zh-CN" w:bidi="ar-SA"/>
    </w:rPr>
  </w:style>
  <w:style w:type="paragraph" w:styleId="9">
    <w:name w:val="Normal Indent"/>
    <w:basedOn w:val="1"/>
    <w:link w:val="58"/>
    <w:qFormat/>
    <w:uiPriority w:val="0"/>
    <w:pPr>
      <w:autoSpaceDE/>
      <w:autoSpaceDN/>
      <w:adjustRightInd/>
      <w:ind w:firstLine="420"/>
      <w:jc w:val="both"/>
    </w:pPr>
    <w:rPr>
      <w:rFonts w:ascii="Times New Roman"/>
      <w:kern w:val="2"/>
      <w:sz w:val="21"/>
    </w:rPr>
  </w:style>
  <w:style w:type="paragraph" w:styleId="13">
    <w:name w:val="toc 7"/>
    <w:basedOn w:val="1"/>
    <w:next w:val="1"/>
    <w:unhideWhenUsed/>
    <w:qFormat/>
    <w:uiPriority w:val="39"/>
    <w:pPr>
      <w:autoSpaceDE/>
      <w:autoSpaceDN/>
      <w:adjustRightInd/>
      <w:ind w:left="2520" w:leftChars="1200" w:firstLine="0" w:firstLineChars="0"/>
      <w:jc w:val="both"/>
    </w:pPr>
    <w:rPr>
      <w:rFonts w:asciiTheme="minorHAnsi" w:hAnsiTheme="minorHAnsi" w:eastAsiaTheme="minorEastAsia" w:cstheme="minorBidi"/>
      <w:kern w:val="2"/>
      <w:sz w:val="21"/>
      <w:szCs w:val="22"/>
    </w:rPr>
  </w:style>
  <w:style w:type="paragraph" w:styleId="14">
    <w:name w:val="caption"/>
    <w:basedOn w:val="1"/>
    <w:next w:val="1"/>
    <w:unhideWhenUsed/>
    <w:qFormat/>
    <w:uiPriority w:val="35"/>
    <w:pPr>
      <w:autoSpaceDE/>
      <w:autoSpaceDN/>
      <w:adjustRightInd/>
      <w:ind w:firstLine="0" w:firstLineChars="0"/>
      <w:jc w:val="both"/>
    </w:pPr>
    <w:rPr>
      <w:rFonts w:ascii="Cambria" w:hAnsi="Cambria" w:eastAsia="黑体"/>
      <w:kern w:val="2"/>
      <w:sz w:val="20"/>
      <w:szCs w:val="20"/>
    </w:rPr>
  </w:style>
  <w:style w:type="paragraph" w:styleId="15">
    <w:name w:val="Document Map"/>
    <w:basedOn w:val="1"/>
    <w:link w:val="82"/>
    <w:semiHidden/>
    <w:qFormat/>
    <w:uiPriority w:val="0"/>
    <w:pPr>
      <w:shd w:val="clear" w:color="auto" w:fill="000080"/>
      <w:autoSpaceDE/>
      <w:autoSpaceDN/>
      <w:adjustRightInd/>
      <w:ind w:firstLine="0" w:firstLineChars="0"/>
      <w:jc w:val="both"/>
    </w:pPr>
    <w:rPr>
      <w:rFonts w:ascii="Times New Roman"/>
      <w:kern w:val="2"/>
      <w:sz w:val="21"/>
    </w:rPr>
  </w:style>
  <w:style w:type="paragraph" w:styleId="16">
    <w:name w:val="annotation text"/>
    <w:basedOn w:val="1"/>
    <w:link w:val="85"/>
    <w:qFormat/>
    <w:uiPriority w:val="0"/>
    <w:pPr>
      <w:autoSpaceDE/>
      <w:autoSpaceDN/>
      <w:adjustRightInd/>
      <w:ind w:firstLine="0" w:firstLineChars="0"/>
    </w:pPr>
    <w:rPr>
      <w:rFonts w:ascii="Times New Roman"/>
      <w:kern w:val="2"/>
      <w:sz w:val="21"/>
    </w:rPr>
  </w:style>
  <w:style w:type="paragraph" w:styleId="17">
    <w:name w:val="Body Text 3"/>
    <w:basedOn w:val="1"/>
    <w:link w:val="130"/>
    <w:unhideWhenUsed/>
    <w:qFormat/>
    <w:uiPriority w:val="99"/>
    <w:pPr>
      <w:spacing w:after="120"/>
    </w:pPr>
    <w:rPr>
      <w:sz w:val="16"/>
      <w:szCs w:val="16"/>
    </w:rPr>
  </w:style>
  <w:style w:type="paragraph" w:styleId="18">
    <w:name w:val="Body Text"/>
    <w:basedOn w:val="1"/>
    <w:link w:val="94"/>
    <w:qFormat/>
    <w:uiPriority w:val="0"/>
    <w:pPr>
      <w:autoSpaceDE/>
      <w:autoSpaceDN/>
      <w:adjustRightInd/>
      <w:spacing w:before="120" w:after="120"/>
      <w:ind w:firstLine="0" w:firstLineChars="0"/>
    </w:pPr>
    <w:rPr>
      <w:rFonts w:ascii="Times New Roman" w:eastAsia="PMingLiU"/>
      <w:kern w:val="2"/>
    </w:rPr>
  </w:style>
  <w:style w:type="paragraph" w:styleId="19">
    <w:name w:val="Body Text Indent"/>
    <w:basedOn w:val="1"/>
    <w:link w:val="75"/>
    <w:qFormat/>
    <w:uiPriority w:val="0"/>
    <w:pPr>
      <w:autoSpaceDE/>
      <w:autoSpaceDN/>
      <w:adjustRightInd/>
      <w:ind w:left="-362" w:leftChars="-43" w:firstLine="116" w:firstLineChars="32"/>
      <w:jc w:val="center"/>
    </w:pPr>
    <w:rPr>
      <w:rFonts w:hAnsi="宋体"/>
      <w:b/>
      <w:kern w:val="2"/>
      <w:sz w:val="36"/>
    </w:rPr>
  </w:style>
  <w:style w:type="paragraph" w:styleId="20">
    <w:name w:val="List 2"/>
    <w:basedOn w:val="1"/>
    <w:qFormat/>
    <w:uiPriority w:val="0"/>
    <w:pPr>
      <w:widowControl/>
      <w:tabs>
        <w:tab w:val="left" w:pos="1055"/>
      </w:tabs>
      <w:autoSpaceDE/>
      <w:autoSpaceDN/>
      <w:adjustRightInd/>
      <w:spacing w:after="120" w:line="360" w:lineRule="auto"/>
      <w:ind w:left="1055" w:firstLine="0" w:firstLineChars="0"/>
    </w:pPr>
    <w:rPr>
      <w:rFonts w:ascii="Times New Roman"/>
      <w:sz w:val="28"/>
      <w:szCs w:val="20"/>
    </w:rPr>
  </w:style>
  <w:style w:type="paragraph" w:styleId="21">
    <w:name w:val="Block Text"/>
    <w:qFormat/>
    <w:uiPriority w:val="0"/>
    <w:pPr>
      <w:kinsoku w:val="0"/>
      <w:spacing w:beforeLines="50" w:afterLines="50" w:line="400" w:lineRule="atLeast"/>
      <w:ind w:firstLine="200" w:firstLineChars="200"/>
      <w:jc w:val="both"/>
    </w:pPr>
    <w:rPr>
      <w:rFonts w:ascii="Times New Roman" w:hAnsi="Times New Roman" w:eastAsia="宋体" w:cs="Times New Roman"/>
      <w:sz w:val="21"/>
      <w:szCs w:val="21"/>
      <w:lang w:val="en-GB" w:eastAsia="zh-CN" w:bidi="ar-SA"/>
    </w:rPr>
  </w:style>
  <w:style w:type="paragraph" w:styleId="22">
    <w:name w:val="toc 5"/>
    <w:basedOn w:val="1"/>
    <w:next w:val="1"/>
    <w:unhideWhenUsed/>
    <w:qFormat/>
    <w:uiPriority w:val="39"/>
    <w:pPr>
      <w:autoSpaceDE/>
      <w:autoSpaceDN/>
      <w:adjustRightInd/>
      <w:ind w:left="1680" w:leftChars="800" w:firstLine="0" w:firstLineChars="0"/>
      <w:jc w:val="both"/>
    </w:pPr>
    <w:rPr>
      <w:rFonts w:asciiTheme="minorHAnsi" w:hAnsiTheme="minorHAnsi" w:eastAsiaTheme="minorEastAsia" w:cstheme="minorBidi"/>
      <w:kern w:val="2"/>
      <w:sz w:val="21"/>
      <w:szCs w:val="22"/>
    </w:rPr>
  </w:style>
  <w:style w:type="paragraph" w:styleId="23">
    <w:name w:val="toc 3"/>
    <w:basedOn w:val="1"/>
    <w:next w:val="1"/>
    <w:unhideWhenUsed/>
    <w:qFormat/>
    <w:uiPriority w:val="39"/>
    <w:pPr>
      <w:ind w:left="840" w:leftChars="400"/>
    </w:pPr>
  </w:style>
  <w:style w:type="paragraph" w:styleId="24">
    <w:name w:val="Plain Text"/>
    <w:basedOn w:val="1"/>
    <w:link w:val="79"/>
    <w:qFormat/>
    <w:uiPriority w:val="0"/>
    <w:pPr>
      <w:autoSpaceDE/>
      <w:autoSpaceDN/>
      <w:adjustRightInd/>
      <w:ind w:firstLine="0" w:firstLineChars="0"/>
      <w:jc w:val="both"/>
    </w:pPr>
    <w:rPr>
      <w:rFonts w:hAnsi="Courier New" w:cs="Courier New"/>
      <w:kern w:val="2"/>
      <w:sz w:val="21"/>
      <w:szCs w:val="21"/>
    </w:rPr>
  </w:style>
  <w:style w:type="paragraph" w:styleId="25">
    <w:name w:val="toc 8"/>
    <w:basedOn w:val="1"/>
    <w:next w:val="1"/>
    <w:unhideWhenUsed/>
    <w:qFormat/>
    <w:uiPriority w:val="39"/>
    <w:pPr>
      <w:autoSpaceDE/>
      <w:autoSpaceDN/>
      <w:adjustRightInd/>
      <w:ind w:left="2940" w:leftChars="1400" w:firstLine="0" w:firstLineChars="0"/>
      <w:jc w:val="both"/>
    </w:pPr>
    <w:rPr>
      <w:rFonts w:asciiTheme="minorHAnsi" w:hAnsiTheme="minorHAnsi" w:eastAsiaTheme="minorEastAsia" w:cstheme="minorBidi"/>
      <w:kern w:val="2"/>
      <w:sz w:val="21"/>
      <w:szCs w:val="22"/>
    </w:rPr>
  </w:style>
  <w:style w:type="paragraph" w:styleId="26">
    <w:name w:val="Date"/>
    <w:basedOn w:val="1"/>
    <w:next w:val="1"/>
    <w:link w:val="78"/>
    <w:qFormat/>
    <w:uiPriority w:val="0"/>
    <w:pPr>
      <w:ind w:left="100" w:leftChars="2500" w:firstLine="0" w:firstLineChars="0"/>
    </w:pPr>
  </w:style>
  <w:style w:type="paragraph" w:styleId="27">
    <w:name w:val="Body Text Indent 2"/>
    <w:basedOn w:val="1"/>
    <w:link w:val="76"/>
    <w:qFormat/>
    <w:uiPriority w:val="0"/>
    <w:pPr>
      <w:autoSpaceDE/>
      <w:autoSpaceDN/>
      <w:adjustRightInd/>
      <w:ind w:firstLine="600"/>
      <w:jc w:val="both"/>
    </w:pPr>
    <w:rPr>
      <w:rFonts w:ascii="Times New Roman"/>
      <w:kern w:val="2"/>
      <w:sz w:val="30"/>
    </w:rPr>
  </w:style>
  <w:style w:type="paragraph" w:styleId="28">
    <w:name w:val="Balloon Text"/>
    <w:basedOn w:val="1"/>
    <w:link w:val="80"/>
    <w:semiHidden/>
    <w:qFormat/>
    <w:uiPriority w:val="0"/>
    <w:pPr>
      <w:autoSpaceDE/>
      <w:autoSpaceDN/>
      <w:adjustRightInd/>
      <w:ind w:firstLine="0" w:firstLineChars="0"/>
      <w:jc w:val="both"/>
    </w:pPr>
    <w:rPr>
      <w:rFonts w:ascii="Times New Roman"/>
      <w:kern w:val="2"/>
      <w:sz w:val="18"/>
      <w:szCs w:val="18"/>
    </w:rPr>
  </w:style>
  <w:style w:type="paragraph" w:styleId="29">
    <w:name w:val="footer"/>
    <w:basedOn w:val="1"/>
    <w:link w:val="64"/>
    <w:unhideWhenUsed/>
    <w:qFormat/>
    <w:uiPriority w:val="99"/>
    <w:pPr>
      <w:tabs>
        <w:tab w:val="center" w:pos="4153"/>
        <w:tab w:val="right" w:pos="8306"/>
      </w:tabs>
      <w:snapToGrid w:val="0"/>
    </w:pPr>
    <w:rPr>
      <w:sz w:val="18"/>
      <w:szCs w:val="18"/>
    </w:rPr>
  </w:style>
  <w:style w:type="paragraph" w:styleId="30">
    <w:name w:val="header"/>
    <w:basedOn w:val="1"/>
    <w:link w:val="63"/>
    <w:unhideWhenUsed/>
    <w:qFormat/>
    <w:uiPriority w:val="0"/>
    <w:pPr>
      <w:pBdr>
        <w:bottom w:val="single" w:color="auto" w:sz="6" w:space="1"/>
      </w:pBdr>
      <w:tabs>
        <w:tab w:val="center" w:pos="4153"/>
        <w:tab w:val="right" w:pos="8306"/>
      </w:tabs>
      <w:snapToGrid w:val="0"/>
      <w:jc w:val="center"/>
    </w:pPr>
    <w:rPr>
      <w:sz w:val="18"/>
      <w:szCs w:val="18"/>
    </w:rPr>
  </w:style>
  <w:style w:type="paragraph" w:styleId="31">
    <w:name w:val="toc 1"/>
    <w:basedOn w:val="1"/>
    <w:next w:val="1"/>
    <w:unhideWhenUsed/>
    <w:qFormat/>
    <w:uiPriority w:val="39"/>
    <w:pPr>
      <w:spacing w:line="360" w:lineRule="auto"/>
    </w:pPr>
    <w:rPr>
      <w:rFonts w:hAnsi="宋体"/>
    </w:rPr>
  </w:style>
  <w:style w:type="paragraph" w:styleId="32">
    <w:name w:val="toc 4"/>
    <w:basedOn w:val="1"/>
    <w:next w:val="1"/>
    <w:unhideWhenUsed/>
    <w:qFormat/>
    <w:uiPriority w:val="39"/>
    <w:pPr>
      <w:ind w:left="1260" w:leftChars="600"/>
    </w:pPr>
  </w:style>
  <w:style w:type="paragraph" w:styleId="33">
    <w:name w:val="Subtitle"/>
    <w:basedOn w:val="1"/>
    <w:link w:val="104"/>
    <w:qFormat/>
    <w:uiPriority w:val="0"/>
    <w:pPr>
      <w:autoSpaceDE/>
      <w:autoSpaceDN/>
      <w:adjustRightInd/>
      <w:spacing w:before="240" w:after="60" w:line="312" w:lineRule="auto"/>
      <w:ind w:firstLine="0" w:firstLineChars="0"/>
      <w:jc w:val="center"/>
      <w:outlineLvl w:val="1"/>
    </w:pPr>
    <w:rPr>
      <w:rFonts w:ascii="Arial" w:hAnsi="Arial" w:cs="Arial"/>
      <w:b/>
      <w:bCs/>
      <w:kern w:val="28"/>
      <w:sz w:val="32"/>
      <w:szCs w:val="32"/>
    </w:rPr>
  </w:style>
  <w:style w:type="paragraph" w:styleId="34">
    <w:name w:val="footnote text"/>
    <w:basedOn w:val="1"/>
    <w:link w:val="84"/>
    <w:qFormat/>
    <w:uiPriority w:val="0"/>
    <w:pPr>
      <w:autoSpaceDE/>
      <w:autoSpaceDN/>
      <w:adjustRightInd/>
      <w:snapToGrid w:val="0"/>
      <w:ind w:firstLine="0" w:firstLineChars="0"/>
    </w:pPr>
    <w:rPr>
      <w:rFonts w:ascii="Times New Roman"/>
      <w:kern w:val="2"/>
      <w:sz w:val="18"/>
      <w:szCs w:val="18"/>
    </w:rPr>
  </w:style>
  <w:style w:type="paragraph" w:styleId="35">
    <w:name w:val="toc 6"/>
    <w:basedOn w:val="1"/>
    <w:next w:val="1"/>
    <w:unhideWhenUsed/>
    <w:qFormat/>
    <w:uiPriority w:val="39"/>
    <w:pPr>
      <w:autoSpaceDE/>
      <w:autoSpaceDN/>
      <w:adjustRightInd/>
      <w:ind w:left="2100" w:leftChars="1000" w:firstLine="0" w:firstLineChars="0"/>
      <w:jc w:val="both"/>
    </w:pPr>
    <w:rPr>
      <w:rFonts w:asciiTheme="minorHAnsi" w:hAnsiTheme="minorHAnsi" w:eastAsiaTheme="minorEastAsia" w:cstheme="minorBidi"/>
      <w:kern w:val="2"/>
      <w:sz w:val="21"/>
      <w:szCs w:val="22"/>
    </w:rPr>
  </w:style>
  <w:style w:type="paragraph" w:styleId="36">
    <w:name w:val="Body Text Indent 3"/>
    <w:basedOn w:val="1"/>
    <w:link w:val="81"/>
    <w:qFormat/>
    <w:uiPriority w:val="0"/>
    <w:pPr>
      <w:autoSpaceDE/>
      <w:autoSpaceDN/>
      <w:adjustRightInd/>
      <w:spacing w:line="420" w:lineRule="exact"/>
      <w:ind w:firstLine="540" w:firstLineChars="225"/>
      <w:jc w:val="both"/>
    </w:pPr>
    <w:rPr>
      <w:rFonts w:ascii="Times New Roman"/>
      <w:kern w:val="2"/>
    </w:rPr>
  </w:style>
  <w:style w:type="paragraph" w:styleId="37">
    <w:name w:val="toc 2"/>
    <w:basedOn w:val="1"/>
    <w:next w:val="1"/>
    <w:unhideWhenUsed/>
    <w:qFormat/>
    <w:uiPriority w:val="39"/>
    <w:pPr>
      <w:ind w:left="420" w:leftChars="200"/>
    </w:pPr>
  </w:style>
  <w:style w:type="paragraph" w:styleId="38">
    <w:name w:val="toc 9"/>
    <w:basedOn w:val="1"/>
    <w:next w:val="1"/>
    <w:unhideWhenUsed/>
    <w:qFormat/>
    <w:uiPriority w:val="39"/>
    <w:pPr>
      <w:autoSpaceDE/>
      <w:autoSpaceDN/>
      <w:adjustRightInd/>
      <w:ind w:left="3360" w:leftChars="1600" w:firstLine="0" w:firstLineChars="0"/>
      <w:jc w:val="both"/>
    </w:pPr>
    <w:rPr>
      <w:rFonts w:asciiTheme="minorHAnsi" w:hAnsiTheme="minorHAnsi" w:eastAsiaTheme="minorEastAsia" w:cstheme="minorBidi"/>
      <w:kern w:val="2"/>
      <w:sz w:val="21"/>
      <w:szCs w:val="22"/>
    </w:rPr>
  </w:style>
  <w:style w:type="paragraph" w:styleId="39">
    <w:name w:val="Body Text 2"/>
    <w:basedOn w:val="1"/>
    <w:link w:val="110"/>
    <w:qFormat/>
    <w:uiPriority w:val="0"/>
    <w:pPr>
      <w:autoSpaceDE/>
      <w:autoSpaceDN/>
      <w:adjustRightInd/>
      <w:spacing w:line="500" w:lineRule="exact"/>
      <w:ind w:left="1080" w:hanging="540" w:firstLineChars="0"/>
      <w:jc w:val="both"/>
    </w:pPr>
    <w:rPr>
      <w:rFonts w:ascii="Times New Roman"/>
      <w:kern w:val="2"/>
    </w:rPr>
  </w:style>
  <w:style w:type="paragraph" w:styleId="40">
    <w:name w:val="Normal (Web)"/>
    <w:basedOn w:val="1"/>
    <w:qFormat/>
    <w:uiPriority w:val="99"/>
    <w:pPr>
      <w:widowControl/>
      <w:autoSpaceDE/>
      <w:autoSpaceDN/>
      <w:adjustRightInd/>
      <w:spacing w:before="100" w:beforeAutospacing="1" w:after="100" w:afterAutospacing="1"/>
      <w:ind w:firstLine="0" w:firstLineChars="0"/>
    </w:pPr>
    <w:rPr>
      <w:rFonts w:cs="宋体"/>
    </w:rPr>
  </w:style>
  <w:style w:type="paragraph" w:styleId="41">
    <w:name w:val="Title"/>
    <w:basedOn w:val="1"/>
    <w:next w:val="1"/>
    <w:link w:val="97"/>
    <w:qFormat/>
    <w:uiPriority w:val="0"/>
    <w:pPr>
      <w:autoSpaceDE/>
      <w:autoSpaceDN/>
      <w:adjustRightInd/>
      <w:spacing w:before="240" w:after="60" w:line="360" w:lineRule="auto"/>
      <w:ind w:firstLine="0" w:firstLineChars="0"/>
      <w:jc w:val="center"/>
      <w:outlineLvl w:val="0"/>
    </w:pPr>
    <w:rPr>
      <w:rFonts w:ascii="Cambria" w:hAnsi="Cambria"/>
      <w:b/>
      <w:bCs/>
      <w:kern w:val="2"/>
      <w:sz w:val="52"/>
      <w:szCs w:val="32"/>
    </w:rPr>
  </w:style>
  <w:style w:type="paragraph" w:styleId="42">
    <w:name w:val="annotation subject"/>
    <w:basedOn w:val="16"/>
    <w:next w:val="16"/>
    <w:link w:val="86"/>
    <w:qFormat/>
    <w:uiPriority w:val="0"/>
    <w:rPr>
      <w:b/>
      <w:bCs/>
    </w:rPr>
  </w:style>
  <w:style w:type="paragraph" w:styleId="43">
    <w:name w:val="Body Text First Indent 2"/>
    <w:basedOn w:val="19"/>
    <w:qFormat/>
    <w:uiPriority w:val="0"/>
    <w:pPr>
      <w:ind w:firstLine="420"/>
    </w:pPr>
  </w:style>
  <w:style w:type="table" w:styleId="45">
    <w:name w:val="Table Grid"/>
    <w:basedOn w:val="44"/>
    <w:qFormat/>
    <w:uiPriority w:val="0"/>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 w:type="character" w:styleId="47">
    <w:name w:val="Strong"/>
    <w:qFormat/>
    <w:uiPriority w:val="0"/>
    <w:rPr>
      <w:b/>
      <w:bCs/>
    </w:rPr>
  </w:style>
  <w:style w:type="character" w:styleId="48">
    <w:name w:val="page number"/>
    <w:basedOn w:val="46"/>
    <w:qFormat/>
    <w:uiPriority w:val="0"/>
  </w:style>
  <w:style w:type="character" w:styleId="49">
    <w:name w:val="FollowedHyperlink"/>
    <w:qFormat/>
    <w:uiPriority w:val="0"/>
    <w:rPr>
      <w:color w:val="800080"/>
      <w:u w:val="single"/>
    </w:rPr>
  </w:style>
  <w:style w:type="character" w:styleId="50">
    <w:name w:val="Hyperlink"/>
    <w:basedOn w:val="46"/>
    <w:unhideWhenUsed/>
    <w:qFormat/>
    <w:uiPriority w:val="99"/>
    <w:rPr>
      <w:color w:val="0000FF" w:themeColor="hyperlink"/>
      <w:u w:val="single"/>
    </w:rPr>
  </w:style>
  <w:style w:type="character" w:styleId="51">
    <w:name w:val="annotation reference"/>
    <w:qFormat/>
    <w:uiPriority w:val="0"/>
    <w:rPr>
      <w:sz w:val="21"/>
      <w:szCs w:val="21"/>
    </w:rPr>
  </w:style>
  <w:style w:type="character" w:styleId="52">
    <w:name w:val="footnote reference"/>
    <w:qFormat/>
    <w:uiPriority w:val="0"/>
    <w:rPr>
      <w:vertAlign w:val="superscript"/>
    </w:rPr>
  </w:style>
  <w:style w:type="paragraph" w:customStyle="1" w:styleId="53">
    <w:name w:val="A表格"/>
    <w:basedOn w:val="1"/>
    <w:qFormat/>
    <w:uiPriority w:val="0"/>
    <w:pPr>
      <w:autoSpaceDE/>
      <w:autoSpaceDN/>
      <w:adjustRightInd/>
      <w:spacing w:beforeLines="10" w:afterLines="10" w:line="360" w:lineRule="auto"/>
      <w:ind w:firstLine="0" w:firstLineChars="0"/>
      <w:jc w:val="center"/>
    </w:pPr>
    <w:rPr>
      <w:rFonts w:ascii="Times New Roman"/>
      <w:sz w:val="21"/>
    </w:rPr>
  </w:style>
  <w:style w:type="character" w:customStyle="1" w:styleId="54">
    <w:name w:val="标题 1 Char"/>
    <w:basedOn w:val="46"/>
    <w:link w:val="3"/>
    <w:qFormat/>
    <w:uiPriority w:val="0"/>
    <w:rPr>
      <w:rFonts w:ascii="宋体" w:hAnsi="宋体" w:cs="Times New Roman" w:eastAsiaTheme="majorEastAsia"/>
      <w:b/>
      <w:bCs/>
      <w:color w:val="000000"/>
      <w:spacing w:val="10"/>
      <w:kern w:val="2"/>
      <w:sz w:val="36"/>
      <w:szCs w:val="36"/>
    </w:rPr>
  </w:style>
  <w:style w:type="character" w:customStyle="1" w:styleId="55">
    <w:name w:val="标题 2 Char"/>
    <w:basedOn w:val="46"/>
    <w:link w:val="4"/>
    <w:qFormat/>
    <w:uiPriority w:val="0"/>
    <w:rPr>
      <w:rFonts w:ascii="Arial" w:hAnsi="Arial" w:cs="Times New Roman" w:eastAsiaTheme="majorEastAsia"/>
      <w:b/>
      <w:bCs/>
      <w:sz w:val="32"/>
      <w:szCs w:val="32"/>
    </w:rPr>
  </w:style>
  <w:style w:type="character" w:customStyle="1" w:styleId="56">
    <w:name w:val="标题 3 Char"/>
    <w:basedOn w:val="46"/>
    <w:link w:val="5"/>
    <w:qFormat/>
    <w:uiPriority w:val="0"/>
    <w:rPr>
      <w:rFonts w:ascii="宋体" w:hAnsi="Times New Roman" w:eastAsia="宋体" w:cs="Times New Roman"/>
      <w:b/>
      <w:bCs/>
      <w:kern w:val="0"/>
      <w:sz w:val="32"/>
      <w:szCs w:val="32"/>
    </w:rPr>
  </w:style>
  <w:style w:type="character" w:customStyle="1" w:styleId="57">
    <w:name w:val="标题 5 Char"/>
    <w:basedOn w:val="46"/>
    <w:link w:val="7"/>
    <w:qFormat/>
    <w:uiPriority w:val="0"/>
    <w:rPr>
      <w:rFonts w:ascii="Times New Roman" w:hAnsi="Times New Roman" w:eastAsia="宋体" w:cs="Times New Roman"/>
      <w:spacing w:val="14"/>
      <w:kern w:val="24"/>
      <w:sz w:val="24"/>
      <w:szCs w:val="20"/>
    </w:rPr>
  </w:style>
  <w:style w:type="character" w:customStyle="1" w:styleId="58">
    <w:name w:val="正文缩进 Char"/>
    <w:link w:val="9"/>
    <w:qFormat/>
    <w:locked/>
    <w:uiPriority w:val="0"/>
    <w:rPr>
      <w:rFonts w:ascii="Times New Roman" w:hAnsi="Times New Roman" w:eastAsia="宋体" w:cs="Times New Roman"/>
      <w:szCs w:val="24"/>
    </w:rPr>
  </w:style>
  <w:style w:type="character" w:customStyle="1" w:styleId="59">
    <w:name w:val="标题 6 Char"/>
    <w:basedOn w:val="46"/>
    <w:link w:val="8"/>
    <w:qFormat/>
    <w:uiPriority w:val="0"/>
    <w:rPr>
      <w:rFonts w:ascii="Times New Roman" w:hAnsi="Times New Roman" w:eastAsia="宋体" w:cs="Times New Roman"/>
      <w:kern w:val="0"/>
      <w:sz w:val="28"/>
      <w:szCs w:val="20"/>
    </w:rPr>
  </w:style>
  <w:style w:type="character" w:customStyle="1" w:styleId="60">
    <w:name w:val="标题 7 Char"/>
    <w:basedOn w:val="46"/>
    <w:link w:val="10"/>
    <w:qFormat/>
    <w:uiPriority w:val="0"/>
    <w:rPr>
      <w:rFonts w:ascii="Times New Roman" w:hAnsi="Times New Roman" w:eastAsia="宋体" w:cs="Times New Roman"/>
      <w:b/>
      <w:bCs/>
      <w:sz w:val="24"/>
      <w:szCs w:val="24"/>
    </w:rPr>
  </w:style>
  <w:style w:type="character" w:customStyle="1" w:styleId="61">
    <w:name w:val="标题 8 Char"/>
    <w:basedOn w:val="46"/>
    <w:link w:val="11"/>
    <w:qFormat/>
    <w:uiPriority w:val="0"/>
    <w:rPr>
      <w:rFonts w:ascii="Times New Roman" w:hAnsi="Times New Roman" w:eastAsia="宋体" w:cs="Times New Roman"/>
      <w:kern w:val="0"/>
      <w:sz w:val="28"/>
      <w:szCs w:val="20"/>
    </w:rPr>
  </w:style>
  <w:style w:type="character" w:customStyle="1" w:styleId="62">
    <w:name w:val="标题 9 Char"/>
    <w:basedOn w:val="46"/>
    <w:link w:val="12"/>
    <w:qFormat/>
    <w:uiPriority w:val="0"/>
    <w:rPr>
      <w:rFonts w:ascii="Arial" w:hAnsi="Arial" w:eastAsia="黑体" w:cs="Times New Roman"/>
      <w:szCs w:val="21"/>
    </w:rPr>
  </w:style>
  <w:style w:type="character" w:customStyle="1" w:styleId="63">
    <w:name w:val="页眉 Char"/>
    <w:basedOn w:val="46"/>
    <w:link w:val="30"/>
    <w:qFormat/>
    <w:uiPriority w:val="99"/>
    <w:rPr>
      <w:sz w:val="18"/>
      <w:szCs w:val="18"/>
    </w:rPr>
  </w:style>
  <w:style w:type="character" w:customStyle="1" w:styleId="64">
    <w:name w:val="页脚 Char"/>
    <w:basedOn w:val="46"/>
    <w:link w:val="29"/>
    <w:qFormat/>
    <w:uiPriority w:val="99"/>
    <w:rPr>
      <w:sz w:val="18"/>
      <w:szCs w:val="18"/>
    </w:rPr>
  </w:style>
  <w:style w:type="paragraph" w:customStyle="1" w:styleId="65">
    <w:name w:val="样式1"/>
    <w:basedOn w:val="4"/>
    <w:qFormat/>
    <w:uiPriority w:val="0"/>
    <w:pPr>
      <w:spacing w:line="240" w:lineRule="auto"/>
      <w:outlineLvl w:val="0"/>
    </w:pPr>
    <w:rPr>
      <w:rFonts w:ascii="Times New Roman" w:hAnsi="Times New Roman" w:eastAsia="宋体"/>
      <w:sz w:val="30"/>
      <w:szCs w:val="30"/>
    </w:rPr>
  </w:style>
  <w:style w:type="paragraph" w:customStyle="1" w:styleId="66">
    <w:name w:val="样式2"/>
    <w:basedOn w:val="65"/>
    <w:qFormat/>
    <w:uiPriority w:val="0"/>
    <w:pPr>
      <w:outlineLvl w:val="1"/>
    </w:pPr>
  </w:style>
  <w:style w:type="paragraph" w:customStyle="1" w:styleId="67">
    <w:name w:val="样式3"/>
    <w:basedOn w:val="5"/>
    <w:qFormat/>
    <w:uiPriority w:val="0"/>
    <w:pPr>
      <w:spacing w:before="0" w:after="0" w:line="240" w:lineRule="auto"/>
    </w:pPr>
    <w:rPr>
      <w:rFonts w:ascii="Times New Roman"/>
      <w:bCs w:val="0"/>
      <w:sz w:val="28"/>
      <w:szCs w:val="28"/>
    </w:rPr>
  </w:style>
  <w:style w:type="paragraph" w:customStyle="1" w:styleId="68">
    <w:name w:val="样式4（正文"/>
    <w:basedOn w:val="1"/>
    <w:qFormat/>
    <w:uiPriority w:val="0"/>
    <w:rPr>
      <w:rFonts w:ascii="Times New Roman"/>
    </w:rPr>
  </w:style>
  <w:style w:type="paragraph" w:customStyle="1" w:styleId="69">
    <w:name w:val="样式4规范"/>
    <w:basedOn w:val="68"/>
    <w:qFormat/>
    <w:uiPriority w:val="0"/>
  </w:style>
  <w:style w:type="paragraph" w:customStyle="1" w:styleId="70">
    <w:name w:val="标题1"/>
    <w:basedOn w:val="65"/>
    <w:link w:val="150"/>
    <w:qFormat/>
    <w:uiPriority w:val="0"/>
    <w:rPr>
      <w:sz w:val="36"/>
    </w:rPr>
  </w:style>
  <w:style w:type="paragraph" w:customStyle="1" w:styleId="71">
    <w:name w:val="标题2"/>
    <w:basedOn w:val="70"/>
    <w:link w:val="149"/>
    <w:qFormat/>
    <w:uiPriority w:val="0"/>
    <w:pPr>
      <w:spacing w:beforeLines="0" w:afterLines="0"/>
      <w:ind w:firstLine="100" w:firstLineChars="100"/>
      <w:outlineLvl w:val="1"/>
    </w:pPr>
    <w:rPr>
      <w:sz w:val="32"/>
    </w:rPr>
  </w:style>
  <w:style w:type="paragraph" w:customStyle="1" w:styleId="72">
    <w:name w:val="标题3"/>
    <w:basedOn w:val="67"/>
    <w:qFormat/>
    <w:uiPriority w:val="0"/>
  </w:style>
  <w:style w:type="paragraph" w:customStyle="1" w:styleId="73">
    <w:name w:val="标题4"/>
    <w:basedOn w:val="1"/>
    <w:qFormat/>
    <w:uiPriority w:val="0"/>
    <w:pPr>
      <w:widowControl/>
      <w:autoSpaceDE/>
      <w:autoSpaceDN/>
      <w:adjustRightInd/>
      <w:textAlignment w:val="baseline"/>
      <w:outlineLvl w:val="3"/>
    </w:pPr>
    <w:rPr>
      <w:rFonts w:ascii="Times New Roman"/>
      <w:b/>
    </w:rPr>
  </w:style>
  <w:style w:type="paragraph" w:customStyle="1" w:styleId="74">
    <w:name w:val="Char"/>
    <w:basedOn w:val="1"/>
    <w:qFormat/>
    <w:uiPriority w:val="0"/>
    <w:pPr>
      <w:numPr>
        <w:ilvl w:val="2"/>
        <w:numId w:val="1"/>
      </w:numPr>
      <w:autoSpaceDE/>
      <w:autoSpaceDN/>
      <w:adjustRightInd/>
      <w:ind w:left="0" w:firstLine="0" w:firstLineChars="0"/>
      <w:jc w:val="both"/>
    </w:pPr>
    <w:rPr>
      <w:rFonts w:ascii="Times New Roman"/>
      <w:kern w:val="2"/>
    </w:rPr>
  </w:style>
  <w:style w:type="character" w:customStyle="1" w:styleId="75">
    <w:name w:val="正文文本缩进 Char"/>
    <w:basedOn w:val="46"/>
    <w:link w:val="19"/>
    <w:qFormat/>
    <w:uiPriority w:val="0"/>
    <w:rPr>
      <w:rFonts w:ascii="宋体" w:hAnsi="宋体" w:eastAsia="宋体" w:cs="Times New Roman"/>
      <w:b/>
      <w:sz w:val="36"/>
      <w:szCs w:val="24"/>
    </w:rPr>
  </w:style>
  <w:style w:type="character" w:customStyle="1" w:styleId="76">
    <w:name w:val="正文文本缩进 2 Char"/>
    <w:basedOn w:val="46"/>
    <w:link w:val="27"/>
    <w:qFormat/>
    <w:uiPriority w:val="0"/>
    <w:rPr>
      <w:rFonts w:ascii="Times New Roman" w:hAnsi="Times New Roman" w:eastAsia="宋体" w:cs="Times New Roman"/>
      <w:sz w:val="30"/>
      <w:szCs w:val="24"/>
    </w:rPr>
  </w:style>
  <w:style w:type="paragraph" w:customStyle="1" w:styleId="77">
    <w:name w:val="标准"/>
    <w:basedOn w:val="1"/>
    <w:qFormat/>
    <w:uiPriority w:val="0"/>
    <w:pPr>
      <w:autoSpaceDE/>
      <w:autoSpaceDN/>
      <w:spacing w:after="120" w:line="0" w:lineRule="atLeast"/>
      <w:ind w:firstLine="0" w:firstLineChars="0"/>
      <w:jc w:val="center"/>
      <w:textAlignment w:val="baseline"/>
    </w:pPr>
    <w:rPr>
      <w:szCs w:val="20"/>
    </w:rPr>
  </w:style>
  <w:style w:type="character" w:customStyle="1" w:styleId="78">
    <w:name w:val="日期 Char"/>
    <w:basedOn w:val="46"/>
    <w:link w:val="26"/>
    <w:qFormat/>
    <w:uiPriority w:val="99"/>
    <w:rPr>
      <w:rFonts w:ascii="宋体" w:hAnsi="Times New Roman" w:eastAsia="宋体" w:cs="Times New Roman"/>
      <w:kern w:val="0"/>
      <w:sz w:val="24"/>
      <w:szCs w:val="24"/>
    </w:rPr>
  </w:style>
  <w:style w:type="character" w:customStyle="1" w:styleId="79">
    <w:name w:val="纯文本 Char"/>
    <w:basedOn w:val="46"/>
    <w:link w:val="24"/>
    <w:qFormat/>
    <w:uiPriority w:val="0"/>
    <w:rPr>
      <w:rFonts w:ascii="宋体" w:hAnsi="Courier New" w:eastAsia="宋体" w:cs="Courier New"/>
      <w:szCs w:val="21"/>
    </w:rPr>
  </w:style>
  <w:style w:type="character" w:customStyle="1" w:styleId="80">
    <w:name w:val="批注框文本 Char"/>
    <w:basedOn w:val="46"/>
    <w:link w:val="28"/>
    <w:qFormat/>
    <w:uiPriority w:val="99"/>
    <w:rPr>
      <w:rFonts w:ascii="Times New Roman" w:hAnsi="Times New Roman" w:eastAsia="宋体" w:cs="Times New Roman"/>
      <w:sz w:val="18"/>
      <w:szCs w:val="18"/>
    </w:rPr>
  </w:style>
  <w:style w:type="character" w:customStyle="1" w:styleId="81">
    <w:name w:val="正文文本缩进 3 Char"/>
    <w:basedOn w:val="46"/>
    <w:link w:val="36"/>
    <w:qFormat/>
    <w:uiPriority w:val="0"/>
    <w:rPr>
      <w:rFonts w:ascii="Times New Roman" w:hAnsi="Times New Roman" w:eastAsia="宋体" w:cs="Times New Roman"/>
      <w:sz w:val="24"/>
      <w:szCs w:val="24"/>
    </w:rPr>
  </w:style>
  <w:style w:type="character" w:customStyle="1" w:styleId="82">
    <w:name w:val="文档结构图 Char"/>
    <w:basedOn w:val="46"/>
    <w:link w:val="15"/>
    <w:semiHidden/>
    <w:qFormat/>
    <w:uiPriority w:val="99"/>
    <w:rPr>
      <w:rFonts w:ascii="Times New Roman" w:hAnsi="Times New Roman" w:eastAsia="宋体" w:cs="Times New Roman"/>
      <w:szCs w:val="24"/>
      <w:shd w:val="clear" w:color="auto" w:fill="000080"/>
    </w:rPr>
  </w:style>
  <w:style w:type="paragraph" w:customStyle="1" w:styleId="83">
    <w:name w:val="[No paragraph style]"/>
    <w:qFormat/>
    <w:uiPriority w:val="0"/>
    <w:pPr>
      <w:widowControl w:val="0"/>
      <w:autoSpaceDE w:val="0"/>
      <w:autoSpaceDN w:val="0"/>
      <w:adjustRightInd w:val="0"/>
      <w:spacing w:beforeLines="50" w:afterLines="50" w:line="288" w:lineRule="auto"/>
      <w:ind w:firstLine="641"/>
      <w:textAlignment w:val="center"/>
    </w:pPr>
    <w:rPr>
      <w:rFonts w:ascii="Times New Roman" w:hAnsi="Times New Roman" w:eastAsia="黑体" w:cs="Times New Roman"/>
      <w:color w:val="000000"/>
      <w:sz w:val="24"/>
      <w:szCs w:val="24"/>
      <w:lang w:val="en-US" w:eastAsia="zh-CN" w:bidi="ar-SA"/>
    </w:rPr>
  </w:style>
  <w:style w:type="character" w:customStyle="1" w:styleId="84">
    <w:name w:val="脚注文本 Char"/>
    <w:basedOn w:val="46"/>
    <w:link w:val="34"/>
    <w:qFormat/>
    <w:uiPriority w:val="0"/>
    <w:rPr>
      <w:rFonts w:ascii="Times New Roman" w:hAnsi="Times New Roman" w:eastAsia="宋体" w:cs="Times New Roman"/>
      <w:sz w:val="18"/>
      <w:szCs w:val="18"/>
    </w:rPr>
  </w:style>
  <w:style w:type="character" w:customStyle="1" w:styleId="85">
    <w:name w:val="批注文字 Char"/>
    <w:basedOn w:val="46"/>
    <w:link w:val="16"/>
    <w:qFormat/>
    <w:uiPriority w:val="0"/>
    <w:rPr>
      <w:rFonts w:ascii="Times New Roman" w:hAnsi="Times New Roman" w:eastAsia="宋体" w:cs="Times New Roman"/>
      <w:szCs w:val="24"/>
    </w:rPr>
  </w:style>
  <w:style w:type="character" w:customStyle="1" w:styleId="86">
    <w:name w:val="批注主题 Char"/>
    <w:basedOn w:val="85"/>
    <w:link w:val="42"/>
    <w:qFormat/>
    <w:uiPriority w:val="0"/>
    <w:rPr>
      <w:rFonts w:ascii="Times New Roman" w:hAnsi="Times New Roman" w:eastAsia="宋体" w:cs="Times New Roman"/>
      <w:b/>
      <w:bCs/>
      <w:szCs w:val="24"/>
    </w:rPr>
  </w:style>
  <w:style w:type="paragraph" w:customStyle="1" w:styleId="87">
    <w:name w:val="room"/>
    <w:basedOn w:val="16"/>
    <w:qFormat/>
    <w:uiPriority w:val="0"/>
    <w:pPr>
      <w:widowControl/>
      <w:jc w:val="both"/>
    </w:pPr>
    <w:rPr>
      <w:b/>
      <w:kern w:val="0"/>
      <w:sz w:val="24"/>
      <w:szCs w:val="20"/>
      <w:lang w:eastAsia="en-US"/>
    </w:rPr>
  </w:style>
  <w:style w:type="paragraph" w:customStyle="1" w:styleId="88">
    <w:name w:val="列表编号 2A"/>
    <w:basedOn w:val="1"/>
    <w:qFormat/>
    <w:uiPriority w:val="0"/>
    <w:pPr>
      <w:tabs>
        <w:tab w:val="left" w:pos="845"/>
      </w:tabs>
      <w:autoSpaceDE/>
      <w:autoSpaceDN/>
      <w:adjustRightInd/>
      <w:ind w:firstLine="0" w:firstLineChars="0"/>
      <w:jc w:val="both"/>
    </w:pPr>
    <w:rPr>
      <w:rFonts w:ascii="Times New Roman"/>
      <w:kern w:val="2"/>
      <w:sz w:val="28"/>
      <w:szCs w:val="20"/>
    </w:rPr>
  </w:style>
  <w:style w:type="paragraph" w:customStyle="1" w:styleId="89">
    <w:name w:val="Char2 Char Char Char Char Char Char"/>
    <w:basedOn w:val="1"/>
    <w:qFormat/>
    <w:uiPriority w:val="0"/>
    <w:pPr>
      <w:autoSpaceDE/>
      <w:autoSpaceDN/>
      <w:spacing w:line="360" w:lineRule="auto"/>
      <w:ind w:firstLine="0" w:firstLineChars="0"/>
      <w:jc w:val="both"/>
    </w:pPr>
    <w:rPr>
      <w:rFonts w:ascii="Times New Roman"/>
      <w:szCs w:val="20"/>
    </w:rPr>
  </w:style>
  <w:style w:type="paragraph" w:customStyle="1" w:styleId="90">
    <w:name w:val="Char Char Char Char Char Char Char Char Char Char Char Char Char Char Char Char"/>
    <w:basedOn w:val="1"/>
    <w:qFormat/>
    <w:uiPriority w:val="0"/>
    <w:pPr>
      <w:autoSpaceDE/>
      <w:autoSpaceDN/>
      <w:adjustRightInd/>
      <w:ind w:firstLine="0" w:firstLineChars="0"/>
      <w:jc w:val="both"/>
    </w:pPr>
    <w:rPr>
      <w:rFonts w:ascii="Times New Roman"/>
      <w:kern w:val="2"/>
      <w:sz w:val="21"/>
    </w:rPr>
  </w:style>
  <w:style w:type="paragraph" w:customStyle="1" w:styleId="91">
    <w:name w:val="正文2缩进"/>
    <w:basedOn w:val="1"/>
    <w:qFormat/>
    <w:uiPriority w:val="0"/>
    <w:pPr>
      <w:autoSpaceDE/>
      <w:autoSpaceDN/>
      <w:adjustRightInd/>
      <w:spacing w:line="360" w:lineRule="auto"/>
      <w:ind w:firstLine="480"/>
      <w:jc w:val="both"/>
    </w:pPr>
    <w:rPr>
      <w:rFonts w:ascii="Times New Roman"/>
      <w:kern w:val="2"/>
    </w:rPr>
  </w:style>
  <w:style w:type="paragraph" w:customStyle="1" w:styleId="92">
    <w:name w:val="正文1顶前"/>
    <w:basedOn w:val="1"/>
    <w:qFormat/>
    <w:uiPriority w:val="0"/>
    <w:pPr>
      <w:autoSpaceDE/>
      <w:autoSpaceDN/>
      <w:adjustRightInd/>
      <w:spacing w:line="360" w:lineRule="auto"/>
      <w:ind w:firstLine="0" w:firstLineChars="0"/>
      <w:jc w:val="both"/>
    </w:pPr>
    <w:rPr>
      <w:rFonts w:ascii="Times New Roman"/>
      <w:kern w:val="2"/>
    </w:rPr>
  </w:style>
  <w:style w:type="paragraph" w:customStyle="1" w:styleId="93">
    <w:name w:val="样式 标题 2部分标题"/>
    <w:basedOn w:val="4"/>
    <w:qFormat/>
    <w:uiPriority w:val="0"/>
    <w:pPr>
      <w:keepNext w:val="0"/>
      <w:keepLines w:val="0"/>
      <w:tabs>
        <w:tab w:val="left" w:pos="851"/>
      </w:tabs>
      <w:autoSpaceDE/>
      <w:autoSpaceDN/>
      <w:adjustRightInd/>
      <w:spacing w:line="240" w:lineRule="auto"/>
      <w:ind w:left="851" w:hanging="851"/>
      <w:jc w:val="both"/>
    </w:pPr>
    <w:rPr>
      <w:rFonts w:ascii="宋体" w:hAnsi="宋体" w:eastAsia="宋体" w:cs="宋体"/>
      <w:b w:val="0"/>
      <w:caps/>
      <w:kern w:val="2"/>
      <w:sz w:val="28"/>
      <w:szCs w:val="20"/>
    </w:rPr>
  </w:style>
  <w:style w:type="character" w:customStyle="1" w:styleId="94">
    <w:name w:val="正文文本 Char"/>
    <w:basedOn w:val="46"/>
    <w:link w:val="18"/>
    <w:qFormat/>
    <w:uiPriority w:val="0"/>
    <w:rPr>
      <w:rFonts w:ascii="Times New Roman" w:hAnsi="Times New Roman" w:eastAsia="PMingLiU" w:cs="Times New Roman"/>
      <w:sz w:val="24"/>
      <w:szCs w:val="24"/>
    </w:rPr>
  </w:style>
  <w:style w:type="paragraph" w:customStyle="1" w:styleId="95">
    <w:name w:val="消防控制室"/>
    <w:basedOn w:val="1"/>
    <w:qFormat/>
    <w:uiPriority w:val="0"/>
    <w:pPr>
      <w:autoSpaceDE/>
      <w:autoSpaceDN/>
      <w:adjustRightInd/>
      <w:ind w:firstLine="0" w:firstLineChars="0"/>
      <w:jc w:val="both"/>
    </w:pPr>
    <w:rPr>
      <w:rFonts w:ascii="Times New Roman"/>
      <w:kern w:val="2"/>
      <w:sz w:val="28"/>
    </w:rPr>
  </w:style>
  <w:style w:type="paragraph" w:customStyle="1" w:styleId="96">
    <w:name w:val="+小点"/>
    <w:basedOn w:val="92"/>
    <w:qFormat/>
    <w:uiPriority w:val="0"/>
    <w:pPr>
      <w:tabs>
        <w:tab w:val="left" w:pos="284"/>
      </w:tabs>
      <w:ind w:left="284" w:hanging="284"/>
    </w:pPr>
  </w:style>
  <w:style w:type="character" w:customStyle="1" w:styleId="97">
    <w:name w:val="标题 Char"/>
    <w:basedOn w:val="46"/>
    <w:link w:val="41"/>
    <w:qFormat/>
    <w:uiPriority w:val="0"/>
    <w:rPr>
      <w:rFonts w:ascii="Cambria" w:hAnsi="Cambria" w:eastAsia="宋体" w:cs="Times New Roman"/>
      <w:b/>
      <w:bCs/>
      <w:sz w:val="52"/>
      <w:szCs w:val="32"/>
    </w:rPr>
  </w:style>
  <w:style w:type="paragraph" w:customStyle="1" w:styleId="98">
    <w:name w:val="图表文字"/>
    <w:basedOn w:val="1"/>
    <w:qFormat/>
    <w:uiPriority w:val="0"/>
    <w:pPr>
      <w:autoSpaceDE/>
      <w:autoSpaceDN/>
      <w:adjustRightInd/>
      <w:ind w:firstLine="0" w:firstLineChars="0"/>
      <w:jc w:val="center"/>
    </w:pPr>
    <w:rPr>
      <w:rFonts w:ascii="Times New Roman"/>
      <w:iCs/>
      <w:kern w:val="2"/>
    </w:rPr>
  </w:style>
  <w:style w:type="paragraph" w:customStyle="1" w:styleId="99">
    <w:name w:val="Char Char Char Char"/>
    <w:basedOn w:val="15"/>
    <w:qFormat/>
    <w:uiPriority w:val="0"/>
    <w:rPr>
      <w:rFonts w:ascii="Tahoma" w:hAnsi="Tahoma"/>
      <w:sz w:val="24"/>
    </w:rPr>
  </w:style>
  <w:style w:type="character" w:customStyle="1" w:styleId="100">
    <w:name w:val="content151"/>
    <w:qFormat/>
    <w:uiPriority w:val="0"/>
    <w:rPr>
      <w:sz w:val="18"/>
      <w:szCs w:val="18"/>
      <w:u w:val="none"/>
    </w:rPr>
  </w:style>
  <w:style w:type="character" w:customStyle="1" w:styleId="101">
    <w:name w:val="javascript"/>
    <w:basedOn w:val="46"/>
    <w:qFormat/>
    <w:uiPriority w:val="0"/>
  </w:style>
  <w:style w:type="paragraph" w:customStyle="1" w:styleId="102">
    <w:name w:val="默认段落字体 Para Char Char Char Char Char Char Char"/>
    <w:basedOn w:val="15"/>
    <w:qFormat/>
    <w:uiPriority w:val="0"/>
    <w:pPr>
      <w:adjustRightInd w:val="0"/>
      <w:spacing w:line="436" w:lineRule="exact"/>
      <w:ind w:left="357"/>
      <w:jc w:val="left"/>
      <w:outlineLvl w:val="3"/>
    </w:pPr>
    <w:rPr>
      <w:rFonts w:ascii="Tahoma" w:hAnsi="Tahoma"/>
      <w:b/>
      <w:sz w:val="24"/>
    </w:rPr>
  </w:style>
  <w:style w:type="paragraph" w:customStyle="1" w:styleId="103">
    <w:name w:val="Char Char5 Char Char Char Char"/>
    <w:basedOn w:val="1"/>
    <w:qFormat/>
    <w:uiPriority w:val="0"/>
    <w:pPr>
      <w:widowControl/>
      <w:autoSpaceDE/>
      <w:autoSpaceDN/>
      <w:adjustRightInd/>
      <w:spacing w:before="100" w:beforeAutospacing="1" w:after="100" w:afterAutospacing="1" w:line="330" w:lineRule="atLeast"/>
      <w:ind w:left="360" w:firstLine="0" w:firstLineChars="0"/>
    </w:pPr>
    <w:rPr>
      <w:rFonts w:ascii="ˎ̥" w:hAnsi="ˎ̥" w:cs="宋体"/>
      <w:color w:val="51585D"/>
      <w:szCs w:val="18"/>
    </w:rPr>
  </w:style>
  <w:style w:type="character" w:customStyle="1" w:styleId="104">
    <w:name w:val="副标题 Char"/>
    <w:basedOn w:val="46"/>
    <w:link w:val="33"/>
    <w:qFormat/>
    <w:uiPriority w:val="0"/>
    <w:rPr>
      <w:rFonts w:ascii="Arial" w:hAnsi="Arial" w:eastAsia="宋体" w:cs="Arial"/>
      <w:b/>
      <w:bCs/>
      <w:kern w:val="28"/>
      <w:sz w:val="32"/>
      <w:szCs w:val="32"/>
    </w:rPr>
  </w:style>
  <w:style w:type="paragraph" w:customStyle="1" w:styleId="105">
    <w:name w:val="xl24"/>
    <w:basedOn w:val="1"/>
    <w:qFormat/>
    <w:uiPriority w:val="0"/>
    <w:pPr>
      <w:widowControl/>
      <w:autoSpaceDE/>
      <w:autoSpaceDN/>
      <w:adjustRightInd/>
      <w:spacing w:before="100" w:beforeAutospacing="1" w:after="100" w:afterAutospacing="1"/>
      <w:ind w:firstLine="0" w:firstLineChars="0"/>
      <w:jc w:val="center"/>
      <w:textAlignment w:val="center"/>
    </w:pPr>
    <w:rPr>
      <w:rFonts w:hAnsi="宋体"/>
    </w:rPr>
  </w:style>
  <w:style w:type="paragraph" w:customStyle="1" w:styleId="106">
    <w:name w:val="表头"/>
    <w:basedOn w:val="1"/>
    <w:qFormat/>
    <w:uiPriority w:val="0"/>
    <w:pPr>
      <w:autoSpaceDE/>
      <w:autoSpaceDN/>
      <w:adjustRightInd/>
      <w:ind w:firstLine="0" w:firstLineChars="0"/>
      <w:jc w:val="center"/>
    </w:pPr>
    <w:rPr>
      <w:rFonts w:ascii="Times New Roman"/>
      <w:kern w:val="2"/>
    </w:rPr>
  </w:style>
  <w:style w:type="paragraph" w:customStyle="1" w:styleId="107">
    <w:name w:val="表格内容"/>
    <w:basedOn w:val="1"/>
    <w:qFormat/>
    <w:uiPriority w:val="0"/>
    <w:pPr>
      <w:autoSpaceDE/>
      <w:autoSpaceDN/>
      <w:adjustRightInd/>
      <w:ind w:firstLine="0" w:firstLineChars="0"/>
      <w:jc w:val="both"/>
    </w:pPr>
    <w:rPr>
      <w:rFonts w:ascii="Times New Roman"/>
      <w:kern w:val="2"/>
      <w:sz w:val="21"/>
    </w:rPr>
  </w:style>
  <w:style w:type="paragraph" w:customStyle="1" w:styleId="108">
    <w:name w:val="款"/>
    <w:basedOn w:val="9"/>
    <w:next w:val="1"/>
    <w:qFormat/>
    <w:uiPriority w:val="0"/>
    <w:pPr>
      <w:widowControl/>
      <w:overflowPunct w:val="0"/>
      <w:adjustRightInd w:val="0"/>
      <w:spacing w:line="360" w:lineRule="auto"/>
      <w:ind w:firstLine="200"/>
      <w:textAlignment w:val="baseline"/>
    </w:pPr>
    <w:rPr>
      <w:kern w:val="24"/>
      <w:sz w:val="24"/>
      <w:szCs w:val="20"/>
    </w:rPr>
  </w:style>
  <w:style w:type="paragraph" w:customStyle="1" w:styleId="109">
    <w:name w:val="段"/>
    <w:qFormat/>
    <w:uiPriority w:val="0"/>
    <w:pPr>
      <w:autoSpaceDE w:val="0"/>
      <w:autoSpaceDN w:val="0"/>
      <w:spacing w:beforeLines="50" w:afterLines="50" w:line="415" w:lineRule="auto"/>
      <w:ind w:firstLine="200" w:firstLineChars="200"/>
      <w:jc w:val="both"/>
    </w:pPr>
    <w:rPr>
      <w:rFonts w:ascii="宋体" w:hAnsi="Times New Roman" w:eastAsia="宋体" w:cs="Times New Roman"/>
      <w:sz w:val="21"/>
      <w:lang w:val="en-US" w:eastAsia="zh-CN" w:bidi="ar-SA"/>
    </w:rPr>
  </w:style>
  <w:style w:type="character" w:customStyle="1" w:styleId="110">
    <w:name w:val="正文文本 2 Char"/>
    <w:basedOn w:val="46"/>
    <w:link w:val="39"/>
    <w:qFormat/>
    <w:uiPriority w:val="0"/>
    <w:rPr>
      <w:rFonts w:ascii="Times New Roman" w:hAnsi="Times New Roman" w:eastAsia="宋体" w:cs="Times New Roman"/>
      <w:sz w:val="24"/>
      <w:szCs w:val="24"/>
    </w:rPr>
  </w:style>
  <w:style w:type="paragraph" w:customStyle="1" w:styleId="111">
    <w:name w:val="默认段落字体 Para Char"/>
    <w:basedOn w:val="1"/>
    <w:qFormat/>
    <w:uiPriority w:val="0"/>
    <w:pPr>
      <w:autoSpaceDE/>
      <w:autoSpaceDN/>
      <w:adjustRightInd/>
      <w:ind w:firstLine="0" w:firstLineChars="0"/>
      <w:jc w:val="both"/>
    </w:pPr>
    <w:rPr>
      <w:rFonts w:ascii="Times New Roman"/>
      <w:kern w:val="2"/>
      <w:sz w:val="30"/>
    </w:rPr>
  </w:style>
  <w:style w:type="paragraph" w:customStyle="1" w:styleId="112">
    <w:name w:val="纯文本1"/>
    <w:basedOn w:val="1"/>
    <w:qFormat/>
    <w:uiPriority w:val="0"/>
    <w:pPr>
      <w:spacing w:line="312" w:lineRule="atLeast"/>
      <w:ind w:firstLine="0" w:firstLineChars="0"/>
      <w:jc w:val="both"/>
      <w:textAlignment w:val="baseline"/>
    </w:pPr>
    <w:rPr>
      <w:sz w:val="21"/>
      <w:szCs w:val="20"/>
    </w:rPr>
  </w:style>
  <w:style w:type="paragraph" w:customStyle="1" w:styleId="113">
    <w:name w:val="正文文本缩进 21"/>
    <w:basedOn w:val="1"/>
    <w:qFormat/>
    <w:uiPriority w:val="0"/>
    <w:pPr>
      <w:ind w:left="570" w:firstLine="0" w:firstLineChars="0"/>
      <w:jc w:val="both"/>
      <w:textAlignment w:val="baseline"/>
    </w:pPr>
    <w:rPr>
      <w:rFonts w:ascii="Times New Roman"/>
      <w:kern w:val="2"/>
      <w:sz w:val="28"/>
      <w:szCs w:val="20"/>
    </w:rPr>
  </w:style>
  <w:style w:type="paragraph" w:customStyle="1" w:styleId="114">
    <w:name w:val="列出段落1"/>
    <w:basedOn w:val="1"/>
    <w:qFormat/>
    <w:uiPriority w:val="0"/>
    <w:pPr>
      <w:autoSpaceDE/>
      <w:autoSpaceDN/>
      <w:adjustRightInd/>
      <w:spacing w:line="360" w:lineRule="auto"/>
      <w:ind w:firstLine="420"/>
    </w:pPr>
    <w:rPr>
      <w:kern w:val="24"/>
    </w:rPr>
  </w:style>
  <w:style w:type="paragraph" w:customStyle="1" w:styleId="115">
    <w:name w:val="图表内容"/>
    <w:basedOn w:val="1"/>
    <w:link w:val="116"/>
    <w:qFormat/>
    <w:uiPriority w:val="0"/>
    <w:pPr>
      <w:autoSpaceDE/>
      <w:autoSpaceDN/>
      <w:adjustRightInd/>
      <w:spacing w:line="300" w:lineRule="exact"/>
      <w:ind w:right="-51" w:firstLine="0" w:firstLineChars="0"/>
      <w:jc w:val="center"/>
    </w:pPr>
    <w:rPr>
      <w:rFonts w:ascii="Times New Roman"/>
      <w:w w:val="90"/>
      <w:kern w:val="2"/>
      <w:sz w:val="21"/>
      <w:szCs w:val="21"/>
    </w:rPr>
  </w:style>
  <w:style w:type="character" w:customStyle="1" w:styleId="116">
    <w:name w:val="图表内容 Char"/>
    <w:link w:val="115"/>
    <w:qFormat/>
    <w:uiPriority w:val="0"/>
    <w:rPr>
      <w:rFonts w:ascii="Times New Roman" w:hAnsi="Times New Roman" w:eastAsia="宋体" w:cs="Times New Roman"/>
      <w:w w:val="90"/>
      <w:szCs w:val="21"/>
    </w:rPr>
  </w:style>
  <w:style w:type="paragraph" w:customStyle="1" w:styleId="117">
    <w:name w:val="注释"/>
    <w:basedOn w:val="1"/>
    <w:qFormat/>
    <w:uiPriority w:val="0"/>
    <w:pPr>
      <w:autoSpaceDE/>
      <w:autoSpaceDN/>
      <w:adjustRightInd/>
      <w:ind w:firstLine="372" w:firstLineChars="177"/>
      <w:jc w:val="both"/>
    </w:pPr>
    <w:rPr>
      <w:rFonts w:ascii="黑体" w:hAnsi="黑体" w:eastAsia="黑体"/>
      <w:kern w:val="2"/>
      <w:sz w:val="21"/>
      <w:szCs w:val="21"/>
    </w:rPr>
  </w:style>
  <w:style w:type="character" w:customStyle="1" w:styleId="118">
    <w:name w:val="表图1 Char"/>
    <w:link w:val="119"/>
    <w:qFormat/>
    <w:locked/>
    <w:uiPriority w:val="0"/>
    <w:rPr>
      <w:rFonts w:ascii="微软雅黑" w:hAnsi="宋体" w:eastAsia="微软雅黑"/>
      <w:b/>
      <w:szCs w:val="18"/>
    </w:rPr>
  </w:style>
  <w:style w:type="paragraph" w:customStyle="1" w:styleId="119">
    <w:name w:val="表图1"/>
    <w:basedOn w:val="1"/>
    <w:link w:val="118"/>
    <w:qFormat/>
    <w:uiPriority w:val="0"/>
    <w:pPr>
      <w:jc w:val="center"/>
    </w:pPr>
    <w:rPr>
      <w:rFonts w:ascii="微软雅黑" w:hAnsi="宋体" w:eastAsia="微软雅黑" w:cstheme="minorBidi"/>
      <w:b/>
      <w:kern w:val="2"/>
      <w:sz w:val="21"/>
      <w:szCs w:val="18"/>
    </w:rPr>
  </w:style>
  <w:style w:type="paragraph" w:customStyle="1" w:styleId="120">
    <w:name w:val="xl27"/>
    <w:basedOn w:val="1"/>
    <w:qFormat/>
    <w:uiPriority w:val="0"/>
    <w:pPr>
      <w:widowControl/>
      <w:autoSpaceDE/>
      <w:autoSpaceDN/>
      <w:adjustRightInd/>
      <w:spacing w:before="100" w:beforeAutospacing="1" w:after="100" w:afterAutospacing="1"/>
      <w:ind w:firstLine="0" w:firstLineChars="0"/>
      <w:jc w:val="center"/>
      <w:textAlignment w:val="center"/>
    </w:pPr>
    <w:rPr>
      <w:rFonts w:hAnsi="宋体"/>
      <w:sz w:val="18"/>
      <w:szCs w:val="18"/>
    </w:rPr>
  </w:style>
  <w:style w:type="paragraph" w:customStyle="1" w:styleId="121">
    <w:name w:val="表格"/>
    <w:basedOn w:val="1"/>
    <w:qFormat/>
    <w:uiPriority w:val="0"/>
    <w:pPr>
      <w:autoSpaceDE/>
      <w:autoSpaceDN/>
      <w:snapToGrid w:val="0"/>
      <w:ind w:firstLine="0" w:firstLineChars="0"/>
      <w:jc w:val="center"/>
    </w:pPr>
    <w:rPr>
      <w:rFonts w:ascii="Times New Roman" w:eastAsia="华文仿宋"/>
      <w:sz w:val="21"/>
      <w:szCs w:val="21"/>
    </w:rPr>
  </w:style>
  <w:style w:type="character" w:customStyle="1" w:styleId="122">
    <w:name w:val="无间隔 Char"/>
    <w:link w:val="123"/>
    <w:qFormat/>
    <w:locked/>
    <w:uiPriority w:val="1"/>
    <w:rPr>
      <w:rFonts w:ascii="华文仿宋" w:hAnsi="华文仿宋" w:eastAsia="华文仿宋"/>
      <w:lang w:eastAsia="en-US" w:bidi="en-US"/>
    </w:rPr>
  </w:style>
  <w:style w:type="paragraph" w:customStyle="1" w:styleId="123">
    <w:name w:val="无间隔1"/>
    <w:basedOn w:val="1"/>
    <w:link w:val="122"/>
    <w:qFormat/>
    <w:uiPriority w:val="1"/>
    <w:pPr>
      <w:widowControl/>
      <w:autoSpaceDE/>
      <w:autoSpaceDN/>
      <w:adjustRightInd/>
      <w:spacing w:afterLines="25" w:line="480" w:lineRule="exact"/>
      <w:ind w:firstLine="0" w:firstLineChars="0"/>
      <w:jc w:val="right"/>
    </w:pPr>
    <w:rPr>
      <w:rFonts w:ascii="华文仿宋" w:hAnsi="华文仿宋" w:eastAsia="华文仿宋" w:cstheme="minorBidi"/>
      <w:kern w:val="2"/>
      <w:sz w:val="21"/>
      <w:szCs w:val="22"/>
      <w:lang w:eastAsia="en-US" w:bidi="en-US"/>
    </w:rPr>
  </w:style>
  <w:style w:type="paragraph" w:customStyle="1" w:styleId="124">
    <w:name w:val="图片头"/>
    <w:basedOn w:val="1"/>
    <w:link w:val="125"/>
    <w:qFormat/>
    <w:uiPriority w:val="0"/>
    <w:pPr>
      <w:widowControl/>
      <w:autoSpaceDE/>
      <w:autoSpaceDN/>
      <w:adjustRightInd/>
      <w:spacing w:line="480" w:lineRule="exact"/>
      <w:ind w:firstLine="0" w:firstLineChars="0"/>
      <w:jc w:val="center"/>
    </w:pPr>
    <w:rPr>
      <w:rFonts w:ascii="Times New Roman" w:eastAsia="华文仿宋"/>
      <w:sz w:val="21"/>
      <w:szCs w:val="22"/>
      <w:lang w:bidi="en-US"/>
    </w:rPr>
  </w:style>
  <w:style w:type="character" w:customStyle="1" w:styleId="125">
    <w:name w:val="图片头 Char"/>
    <w:link w:val="124"/>
    <w:qFormat/>
    <w:uiPriority w:val="0"/>
    <w:rPr>
      <w:rFonts w:ascii="Times New Roman" w:hAnsi="Times New Roman" w:eastAsia="华文仿宋" w:cs="Times New Roman"/>
      <w:kern w:val="0"/>
      <w:lang w:bidi="en-US"/>
    </w:rPr>
  </w:style>
  <w:style w:type="paragraph" w:customStyle="1" w:styleId="126">
    <w:name w:val="reader-word-layer"/>
    <w:basedOn w:val="1"/>
    <w:qFormat/>
    <w:uiPriority w:val="0"/>
    <w:pPr>
      <w:widowControl/>
      <w:autoSpaceDE/>
      <w:autoSpaceDN/>
      <w:adjustRightInd/>
      <w:spacing w:before="100" w:beforeAutospacing="1" w:after="100" w:afterAutospacing="1"/>
      <w:ind w:firstLine="0" w:firstLineChars="0"/>
    </w:pPr>
    <w:rPr>
      <w:rFonts w:hAnsi="宋体" w:cs="宋体"/>
    </w:rPr>
  </w:style>
  <w:style w:type="paragraph" w:customStyle="1" w:styleId="127">
    <w:name w:val="P2"/>
    <w:qFormat/>
    <w:uiPriority w:val="0"/>
    <w:pPr>
      <w:widowControl w:val="0"/>
      <w:adjustRightInd w:val="0"/>
      <w:spacing w:beforeLines="50" w:afterLines="50" w:line="240" w:lineRule="atLeast"/>
      <w:ind w:left="720" w:firstLine="641"/>
      <w:jc w:val="both"/>
      <w:textAlignment w:val="baseline"/>
    </w:pPr>
    <w:rPr>
      <w:rFonts w:ascii="Times New Roman" w:hAnsi="Times New Roman" w:eastAsia="宋体" w:cs="Times New Roman"/>
      <w:spacing w:val="20"/>
      <w:sz w:val="24"/>
      <w:lang w:val="en-GB" w:eastAsia="zh-CN" w:bidi="ar-SA"/>
    </w:rPr>
  </w:style>
  <w:style w:type="paragraph" w:customStyle="1" w:styleId="128">
    <w:name w:val="INDEX"/>
    <w:basedOn w:val="1"/>
    <w:qFormat/>
    <w:uiPriority w:val="0"/>
    <w:pPr>
      <w:widowControl/>
      <w:spacing w:line="360" w:lineRule="atLeast"/>
      <w:ind w:left="720" w:hanging="720" w:firstLineChars="0"/>
      <w:textAlignment w:val="bottom"/>
    </w:pPr>
    <w:rPr>
      <w:rFonts w:ascii="Helv" w:hAnsi="Helv" w:eastAsia="全真楷書"/>
      <w:szCs w:val="20"/>
      <w:lang w:eastAsia="zh-TW"/>
    </w:rPr>
  </w:style>
  <w:style w:type="paragraph" w:customStyle="1" w:styleId="129">
    <w:name w:val="列出段落11"/>
    <w:basedOn w:val="1"/>
    <w:qFormat/>
    <w:uiPriority w:val="34"/>
    <w:pPr>
      <w:autoSpaceDE/>
      <w:autoSpaceDN/>
      <w:adjustRightInd/>
      <w:ind w:firstLine="420"/>
      <w:jc w:val="both"/>
    </w:pPr>
    <w:rPr>
      <w:rFonts w:ascii="Calibri" w:hAnsi="Calibri"/>
      <w:kern w:val="2"/>
      <w:sz w:val="21"/>
      <w:szCs w:val="22"/>
    </w:rPr>
  </w:style>
  <w:style w:type="character" w:customStyle="1" w:styleId="130">
    <w:name w:val="正文文本 3 Char"/>
    <w:basedOn w:val="46"/>
    <w:link w:val="17"/>
    <w:semiHidden/>
    <w:qFormat/>
    <w:uiPriority w:val="99"/>
    <w:rPr>
      <w:rFonts w:ascii="宋体" w:hAnsi="Times New Roman" w:eastAsia="宋体" w:cs="Times New Roman"/>
      <w:kern w:val="0"/>
      <w:sz w:val="16"/>
      <w:szCs w:val="16"/>
    </w:rPr>
  </w:style>
  <w:style w:type="paragraph" w:customStyle="1" w:styleId="131">
    <w:name w:val="0"/>
    <w:basedOn w:val="1"/>
    <w:qFormat/>
    <w:uiPriority w:val="0"/>
    <w:pPr>
      <w:widowControl/>
      <w:autoSpaceDE/>
      <w:autoSpaceDN/>
      <w:adjustRightInd/>
      <w:ind w:firstLine="0" w:firstLineChars="0"/>
      <w:jc w:val="both"/>
    </w:pPr>
    <w:rPr>
      <w:rFonts w:ascii="Times New Roman"/>
      <w:color w:val="000000"/>
      <w:kern w:val="2"/>
      <w:sz w:val="21"/>
      <w:szCs w:val="21"/>
    </w:rPr>
  </w:style>
  <w:style w:type="paragraph" w:customStyle="1" w:styleId="132">
    <w:name w:val="第一级"/>
    <w:basedOn w:val="3"/>
    <w:qFormat/>
    <w:uiPriority w:val="0"/>
    <w:pPr>
      <w:keepLines/>
      <w:tabs>
        <w:tab w:val="left" w:pos="425"/>
      </w:tabs>
      <w:spacing w:beforeLines="0" w:afterLines="0" w:line="360" w:lineRule="auto"/>
      <w:ind w:left="425" w:hanging="425"/>
      <w:jc w:val="both"/>
    </w:pPr>
    <w:rPr>
      <w:rFonts w:ascii="Calibri" w:hAnsi="Calibri" w:eastAsia="黑体"/>
      <w:color w:val="C00000"/>
      <w:spacing w:val="0"/>
      <w:kern w:val="44"/>
      <w:sz w:val="30"/>
      <w:szCs w:val="24"/>
    </w:rPr>
  </w:style>
  <w:style w:type="paragraph" w:customStyle="1" w:styleId="133">
    <w:name w:val="第二级"/>
    <w:basedOn w:val="1"/>
    <w:qFormat/>
    <w:uiPriority w:val="0"/>
    <w:pPr>
      <w:autoSpaceDE/>
      <w:autoSpaceDN/>
      <w:adjustRightInd/>
      <w:spacing w:line="360" w:lineRule="auto"/>
      <w:ind w:firstLine="0" w:firstLineChars="0"/>
      <w:jc w:val="both"/>
    </w:pPr>
    <w:rPr>
      <w:rFonts w:ascii="Calibri" w:hAnsi="Calibri"/>
      <w:b/>
      <w:color w:val="C00000"/>
      <w:kern w:val="2"/>
      <w:sz w:val="28"/>
      <w:szCs w:val="28"/>
    </w:rPr>
  </w:style>
  <w:style w:type="paragraph" w:customStyle="1" w:styleId="134">
    <w:name w:val="第五级"/>
    <w:basedOn w:val="1"/>
    <w:link w:val="135"/>
    <w:qFormat/>
    <w:uiPriority w:val="0"/>
    <w:pPr>
      <w:autoSpaceDE/>
      <w:autoSpaceDN/>
      <w:adjustRightInd/>
      <w:spacing w:line="360" w:lineRule="auto"/>
      <w:ind w:left="142" w:firstLine="0" w:firstLineChars="0"/>
      <w:jc w:val="both"/>
    </w:pPr>
    <w:rPr>
      <w:rFonts w:ascii="Calibri" w:hAnsi="Calibri"/>
      <w:kern w:val="2"/>
      <w:szCs w:val="22"/>
    </w:rPr>
  </w:style>
  <w:style w:type="character" w:customStyle="1" w:styleId="135">
    <w:name w:val="第五级 Char"/>
    <w:basedOn w:val="46"/>
    <w:link w:val="134"/>
    <w:qFormat/>
    <w:uiPriority w:val="0"/>
    <w:rPr>
      <w:rFonts w:ascii="Calibri" w:hAnsi="Calibri" w:eastAsia="宋体" w:cs="Times New Roman"/>
      <w:sz w:val="24"/>
    </w:rPr>
  </w:style>
  <w:style w:type="paragraph" w:customStyle="1" w:styleId="136">
    <w:name w:val="第三级"/>
    <w:basedOn w:val="1"/>
    <w:qFormat/>
    <w:uiPriority w:val="0"/>
    <w:pPr>
      <w:numPr>
        <w:ilvl w:val="2"/>
        <w:numId w:val="2"/>
      </w:numPr>
      <w:autoSpaceDE/>
      <w:autoSpaceDN/>
      <w:adjustRightInd/>
      <w:spacing w:line="360" w:lineRule="auto"/>
      <w:ind w:firstLineChars="0"/>
      <w:jc w:val="both"/>
    </w:pPr>
    <w:rPr>
      <w:rFonts w:ascii="Calibri" w:hAnsi="Calibri"/>
      <w:kern w:val="2"/>
      <w:szCs w:val="22"/>
    </w:rPr>
  </w:style>
  <w:style w:type="paragraph" w:customStyle="1" w:styleId="137">
    <w:name w:val="第四级"/>
    <w:basedOn w:val="1"/>
    <w:qFormat/>
    <w:uiPriority w:val="0"/>
    <w:pPr>
      <w:numPr>
        <w:ilvl w:val="3"/>
        <w:numId w:val="2"/>
      </w:numPr>
      <w:autoSpaceDE/>
      <w:autoSpaceDN/>
      <w:adjustRightInd/>
      <w:spacing w:line="360" w:lineRule="auto"/>
      <w:ind w:firstLineChars="0"/>
      <w:jc w:val="both"/>
    </w:pPr>
    <w:rPr>
      <w:rFonts w:ascii="Calibri" w:hAnsi="Calibri"/>
      <w:kern w:val="2"/>
      <w:szCs w:val="22"/>
    </w:rPr>
  </w:style>
  <w:style w:type="paragraph" w:customStyle="1" w:styleId="138">
    <w:name w:val="第六级"/>
    <w:basedOn w:val="1"/>
    <w:qFormat/>
    <w:uiPriority w:val="0"/>
    <w:pPr>
      <w:numPr>
        <w:ilvl w:val="5"/>
        <w:numId w:val="2"/>
      </w:numPr>
      <w:autoSpaceDE/>
      <w:autoSpaceDN/>
      <w:adjustRightInd/>
      <w:spacing w:line="360" w:lineRule="auto"/>
      <w:ind w:firstLine="0" w:firstLineChars="0"/>
      <w:jc w:val="both"/>
    </w:pPr>
    <w:rPr>
      <w:rFonts w:ascii="Calibri" w:hAnsi="Calibri"/>
      <w:kern w:val="2"/>
      <w:szCs w:val="22"/>
    </w:rPr>
  </w:style>
  <w:style w:type="character" w:customStyle="1" w:styleId="139">
    <w:name w:val="标题 4 Char"/>
    <w:basedOn w:val="46"/>
    <w:link w:val="6"/>
    <w:qFormat/>
    <w:uiPriority w:val="0"/>
    <w:rPr>
      <w:rFonts w:ascii="Times New Roman" w:hAnsi="Times New Roman" w:eastAsia="宋体" w:cs="Times New Roman"/>
      <w:b/>
      <w:sz w:val="24"/>
      <w:szCs w:val="24"/>
    </w:rPr>
  </w:style>
  <w:style w:type="paragraph" w:customStyle="1" w:styleId="140">
    <w:name w:val="TOC 标题1"/>
    <w:basedOn w:val="3"/>
    <w:next w:val="1"/>
    <w:unhideWhenUsed/>
    <w:qFormat/>
    <w:uiPriority w:val="39"/>
    <w:pPr>
      <w:keepLines/>
      <w:widowControl/>
      <w:spacing w:beforeLines="0" w:afterLines="0" w:line="276" w:lineRule="auto"/>
      <w:outlineLvl w:val="9"/>
    </w:pPr>
    <w:rPr>
      <w:rFonts w:ascii="Cambria" w:hAnsi="Cambria"/>
      <w:color w:val="365F91"/>
      <w:spacing w:val="0"/>
      <w:kern w:val="0"/>
      <w:sz w:val="28"/>
      <w:szCs w:val="28"/>
    </w:rPr>
  </w:style>
  <w:style w:type="character" w:customStyle="1" w:styleId="141">
    <w:name w:val="样式 样式 样式 Arial 小四 左 段前: 7.8 磅 行距: 固定值 18 磅 + (符号) 宋体 + 首行缩进:  2 ... Char Char"/>
    <w:basedOn w:val="46"/>
    <w:link w:val="142"/>
    <w:qFormat/>
    <w:uiPriority w:val="0"/>
    <w:rPr>
      <w:rFonts w:eastAsia="仿宋_GB2312"/>
      <w:color w:val="000000"/>
      <w:sz w:val="24"/>
    </w:rPr>
  </w:style>
  <w:style w:type="paragraph" w:customStyle="1" w:styleId="142">
    <w:name w:val="样式 样式 样式 Arial 小四 左 段前: 7.8 磅 行距: 固定值 18 磅 + (符号) 宋体 + 首行缩进:  2 ..."/>
    <w:basedOn w:val="1"/>
    <w:link w:val="141"/>
    <w:qFormat/>
    <w:uiPriority w:val="0"/>
    <w:pPr>
      <w:autoSpaceDE/>
      <w:autoSpaceDN/>
      <w:adjustRightInd/>
      <w:spacing w:before="60" w:line="360" w:lineRule="auto"/>
      <w:ind w:firstLine="482" w:firstLineChars="0"/>
    </w:pPr>
    <w:rPr>
      <w:rFonts w:eastAsia="仿宋_GB2312" w:asciiTheme="minorHAnsi" w:hAnsiTheme="minorHAnsi" w:cstheme="minorBidi"/>
      <w:color w:val="000000"/>
      <w:kern w:val="2"/>
      <w:szCs w:val="22"/>
    </w:rPr>
  </w:style>
  <w:style w:type="paragraph" w:customStyle="1" w:styleId="143">
    <w:name w:val="表——题注 6+6 磅"/>
    <w:basedOn w:val="28"/>
    <w:qFormat/>
    <w:uiPriority w:val="0"/>
    <w:pPr>
      <w:ind w:firstLine="200" w:firstLineChars="200"/>
    </w:pPr>
    <w:rPr>
      <w:rFonts w:ascii="Calibri" w:hAnsi="Calibri"/>
    </w:rPr>
  </w:style>
  <w:style w:type="paragraph" w:customStyle="1" w:styleId="144">
    <w:name w:val="图——题注 6+12 磅"/>
    <w:basedOn w:val="28"/>
    <w:link w:val="145"/>
    <w:qFormat/>
    <w:uiPriority w:val="0"/>
    <w:pPr>
      <w:ind w:firstLine="200" w:firstLineChars="200"/>
    </w:pPr>
    <w:rPr>
      <w:rFonts w:ascii="Calibri" w:hAnsi="Calibri"/>
    </w:rPr>
  </w:style>
  <w:style w:type="character" w:customStyle="1" w:styleId="145">
    <w:name w:val="图——题注 6+12 磅 Char Char"/>
    <w:link w:val="144"/>
    <w:qFormat/>
    <w:uiPriority w:val="0"/>
    <w:rPr>
      <w:rFonts w:ascii="Calibri" w:hAnsi="Calibri" w:eastAsia="宋体" w:cs="Times New Roman"/>
      <w:sz w:val="18"/>
      <w:szCs w:val="18"/>
    </w:rPr>
  </w:style>
  <w:style w:type="paragraph" w:customStyle="1" w:styleId="146">
    <w:name w:val="条文"/>
    <w:basedOn w:val="1"/>
    <w:qFormat/>
    <w:uiPriority w:val="0"/>
    <w:pPr>
      <w:autoSpaceDE/>
      <w:autoSpaceDN/>
      <w:adjustRightInd/>
      <w:spacing w:line="300" w:lineRule="auto"/>
      <w:ind w:firstLine="0" w:firstLineChars="0"/>
      <w:jc w:val="both"/>
      <w:outlineLvl w:val="2"/>
    </w:pPr>
    <w:rPr>
      <w:rFonts w:ascii="Times New Roman"/>
      <w:kern w:val="2"/>
    </w:rPr>
  </w:style>
  <w:style w:type="paragraph" w:customStyle="1" w:styleId="147">
    <w:name w:val="Char1"/>
    <w:basedOn w:val="1"/>
    <w:qFormat/>
    <w:uiPriority w:val="0"/>
    <w:pPr>
      <w:autoSpaceDE/>
      <w:autoSpaceDN/>
      <w:adjustRightInd/>
      <w:snapToGrid w:val="0"/>
      <w:spacing w:line="360" w:lineRule="auto"/>
      <w:jc w:val="both"/>
    </w:pPr>
    <w:rPr>
      <w:rFonts w:ascii="Times New Roman" w:eastAsia="仿宋_GB2312"/>
      <w:kern w:val="2"/>
    </w:rPr>
  </w:style>
  <w:style w:type="paragraph" w:customStyle="1" w:styleId="148">
    <w:name w:val="样式4（表格内容"/>
    <w:basedOn w:val="1"/>
    <w:qFormat/>
    <w:uiPriority w:val="0"/>
    <w:pPr>
      <w:widowControl/>
      <w:autoSpaceDE/>
      <w:autoSpaceDN/>
      <w:adjustRightInd/>
      <w:ind w:firstLine="0" w:firstLineChars="0"/>
    </w:pPr>
    <w:rPr>
      <w:rFonts w:ascii="Times New Roman" w:cs="宋体"/>
      <w:color w:val="000000"/>
      <w:szCs w:val="20"/>
    </w:rPr>
  </w:style>
  <w:style w:type="character" w:customStyle="1" w:styleId="149">
    <w:name w:val="标题2 Char"/>
    <w:link w:val="71"/>
    <w:qFormat/>
    <w:uiPriority w:val="0"/>
    <w:rPr>
      <w:sz w:val="32"/>
    </w:rPr>
  </w:style>
  <w:style w:type="character" w:customStyle="1" w:styleId="150">
    <w:name w:val="标题1 Char"/>
    <w:link w:val="70"/>
    <w:qFormat/>
    <w:uiPriority w:val="0"/>
    <w:rPr>
      <w:sz w:val="36"/>
    </w:rPr>
  </w:style>
  <w:style w:type="paragraph" w:customStyle="1" w:styleId="151">
    <w:name w:val="WPSOffice手动目录 1"/>
    <w:qFormat/>
    <w:uiPriority w:val="0"/>
    <w:pPr>
      <w:spacing w:beforeLines="50" w:afterLines="50" w:line="415" w:lineRule="auto"/>
      <w:ind w:firstLine="641"/>
    </w:pPr>
    <w:rPr>
      <w:rFonts w:ascii="Times New Roman" w:hAnsi="Times New Roman" w:eastAsia="宋体" w:cs="Times New Roman"/>
      <w:lang w:val="en-US" w:eastAsia="zh-CN" w:bidi="ar-SA"/>
    </w:rPr>
  </w:style>
  <w:style w:type="paragraph" w:customStyle="1" w:styleId="152">
    <w:name w:val="WPSOffice手动目录 2"/>
    <w:qFormat/>
    <w:uiPriority w:val="0"/>
    <w:pPr>
      <w:spacing w:beforeLines="50" w:afterLines="50" w:line="415" w:lineRule="auto"/>
      <w:ind w:left="200" w:leftChars="200" w:firstLine="641"/>
    </w:pPr>
    <w:rPr>
      <w:rFonts w:ascii="Times New Roman" w:hAnsi="Times New Roman" w:eastAsia="宋体" w:cs="Times New Roman"/>
      <w:lang w:val="en-US" w:eastAsia="zh-CN" w:bidi="ar-SA"/>
    </w:rPr>
  </w:style>
  <w:style w:type="paragraph" w:customStyle="1" w:styleId="153">
    <w:name w:val="WPSOffice手动目录 3"/>
    <w:qFormat/>
    <w:uiPriority w:val="0"/>
    <w:pPr>
      <w:spacing w:beforeLines="50" w:afterLines="50" w:line="415" w:lineRule="auto"/>
      <w:ind w:left="400" w:leftChars="400" w:firstLine="641"/>
    </w:pPr>
    <w:rPr>
      <w:rFonts w:ascii="Times New Roman" w:hAnsi="Times New Roman" w:eastAsia="宋体" w:cs="Times New Roman"/>
      <w:lang w:val="en-US" w:eastAsia="zh-CN" w:bidi="ar-SA"/>
    </w:rPr>
  </w:style>
  <w:style w:type="paragraph" w:customStyle="1" w:styleId="154">
    <w:name w:val="表内容"/>
    <w:basedOn w:val="1"/>
    <w:qFormat/>
    <w:uiPriority w:val="0"/>
    <w:pPr>
      <w:jc w:val="center"/>
    </w:pPr>
    <w:rPr>
      <w:spacing w:val="10"/>
      <w:sz w:val="20"/>
      <w:szCs w:val="22"/>
    </w:rPr>
  </w:style>
  <w:style w:type="table" w:customStyle="1" w:styleId="155">
    <w:name w:val="网格型3"/>
    <w:basedOn w:val="44"/>
    <w:qFormat/>
    <w:uiPriority w:val="59"/>
    <w:pPr>
      <w:widowControl w:val="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156">
    <w:name w:val="网格型1"/>
    <w:basedOn w:val="44"/>
    <w:qFormat/>
    <w:uiPriority w:val="0"/>
    <w:pPr>
      <w:widowControl w:val="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157">
    <w:name w:val="网格型4"/>
    <w:basedOn w:val="44"/>
    <w:qFormat/>
    <w:uiPriority w:val="59"/>
    <w:pPr>
      <w:widowControl w:val="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158">
    <w:name w:val="网格型5"/>
    <w:basedOn w:val="44"/>
    <w:qFormat/>
    <w:uiPriority w:val="59"/>
    <w:pPr>
      <w:widowControl w:val="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159">
    <w:name w:val="表名"/>
    <w:next w:val="1"/>
    <w:qFormat/>
    <w:uiPriority w:val="0"/>
    <w:pPr>
      <w:spacing w:beforeLines="50" w:afterLines="50" w:line="415" w:lineRule="auto"/>
      <w:ind w:firstLine="641"/>
      <w:jc w:val="center"/>
    </w:pPr>
    <w:rPr>
      <w:rFonts w:ascii="Times New Roman" w:hAnsi="Times New Roman" w:eastAsia="宋体" w:cs="Times New Roman"/>
      <w:kern w:val="2"/>
      <w:sz w:val="21"/>
      <w:szCs w:val="22"/>
      <w:lang w:val="en-US" w:eastAsia="zh-CN" w:bidi="ar-SA"/>
    </w:rPr>
  </w:style>
  <w:style w:type="paragraph" w:customStyle="1" w:styleId="160">
    <w:name w:val="纯文本2"/>
    <w:basedOn w:val="1"/>
    <w:qFormat/>
    <w:uiPriority w:val="0"/>
    <w:pPr>
      <w:spacing w:line="312" w:lineRule="atLeast"/>
      <w:textAlignment w:val="baseline"/>
    </w:pPr>
    <w:rPr>
      <w:szCs w:val="20"/>
    </w:rPr>
  </w:style>
  <w:style w:type="paragraph" w:customStyle="1" w:styleId="161">
    <w:name w:val="_Style 159"/>
    <w:qFormat/>
    <w:uiPriority w:val="0"/>
    <w:pPr>
      <w:spacing w:beforeLines="50" w:afterLines="50" w:line="415" w:lineRule="auto"/>
      <w:ind w:firstLine="641"/>
    </w:pPr>
    <w:rPr>
      <w:rFonts w:ascii="Times New Roman" w:hAnsi="Times New Roman" w:eastAsia="宋体" w:cs="Times New Roman"/>
      <w:lang w:val="en-US" w:eastAsia="zh-CN" w:bidi="ar-SA"/>
    </w:rPr>
  </w:style>
  <w:style w:type="paragraph" w:customStyle="1" w:styleId="162">
    <w:name w:val="修订1"/>
    <w:hidden/>
    <w:semiHidden/>
    <w:qFormat/>
    <w:uiPriority w:val="99"/>
    <w:pPr>
      <w:spacing w:beforeLines="50" w:afterLines="50" w:line="415" w:lineRule="auto"/>
      <w:ind w:firstLine="641"/>
    </w:pPr>
    <w:rPr>
      <w:rFonts w:ascii="Times New Roman" w:hAnsi="Times New Roman" w:eastAsia="宋体" w:cs="Times New Roman"/>
      <w:kern w:val="2"/>
      <w:sz w:val="21"/>
      <w:szCs w:val="24"/>
      <w:lang w:val="en-US" w:eastAsia="zh-CN" w:bidi="ar-SA"/>
    </w:rPr>
  </w:style>
  <w:style w:type="paragraph" w:customStyle="1" w:styleId="163">
    <w:name w:val="TOC 标题2"/>
    <w:basedOn w:val="3"/>
    <w:next w:val="1"/>
    <w:unhideWhenUsed/>
    <w:qFormat/>
    <w:uiPriority w:val="39"/>
    <w:pPr>
      <w:keepLines/>
      <w:widowControl/>
      <w:spacing w:beforeLines="0" w:afterLines="0" w:line="276" w:lineRule="auto"/>
      <w:outlineLvl w:val="9"/>
    </w:pPr>
    <w:rPr>
      <w:rFonts w:asciiTheme="majorHAnsi" w:hAnsiTheme="majorHAnsi" w:cstheme="majorBidi"/>
      <w:color w:val="366091" w:themeColor="accent1" w:themeShade="BF"/>
      <w:spacing w:val="0"/>
      <w:kern w:val="0"/>
      <w:sz w:val="28"/>
      <w:szCs w:val="28"/>
    </w:rPr>
  </w:style>
  <w:style w:type="character" w:customStyle="1" w:styleId="164">
    <w:name w:val="Font Style30"/>
    <w:qFormat/>
    <w:uiPriority w:val="0"/>
    <w:rPr>
      <w:rFonts w:ascii="宋体" w:eastAsia="宋体" w:cs="宋体"/>
      <w:spacing w:val="-10"/>
      <w:sz w:val="32"/>
      <w:szCs w:val="32"/>
    </w:rPr>
  </w:style>
  <w:style w:type="character" w:customStyle="1" w:styleId="165">
    <w:name w:val="font01"/>
    <w:basedOn w:val="46"/>
    <w:qFormat/>
    <w:uiPriority w:val="0"/>
    <w:rPr>
      <w:rFonts w:hint="default" w:ascii="Times New Roman" w:hAnsi="Times New Roman" w:cs="Times New Roman"/>
      <w:color w:val="000000"/>
      <w:sz w:val="21"/>
      <w:szCs w:val="21"/>
      <w:u w:val="none"/>
    </w:rPr>
  </w:style>
  <w:style w:type="character" w:customStyle="1" w:styleId="166">
    <w:name w:val="font21"/>
    <w:basedOn w:val="46"/>
    <w:qFormat/>
    <w:uiPriority w:val="0"/>
    <w:rPr>
      <w:rFonts w:hint="eastAsia" w:ascii="宋体" w:hAnsi="宋体" w:eastAsia="宋体" w:cs="宋体"/>
      <w:color w:val="000000"/>
      <w:sz w:val="21"/>
      <w:szCs w:val="21"/>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2" Type="http://schemas.openxmlformats.org/officeDocument/2006/relationships/fontTable" Target="fontTable.xml"/><Relationship Id="rId31" Type="http://schemas.openxmlformats.org/officeDocument/2006/relationships/customXml" Target="../customXml/item2.xml"/><Relationship Id="rId30" Type="http://schemas.openxmlformats.org/officeDocument/2006/relationships/numbering" Target="numbering.xml"/><Relationship Id="rId3" Type="http://schemas.openxmlformats.org/officeDocument/2006/relationships/footnotes" Target="footnotes.xml"/><Relationship Id="rId29" Type="http://schemas.openxmlformats.org/officeDocument/2006/relationships/customXml" Target="../customXml/item1.xml"/><Relationship Id="rId28" Type="http://schemas.openxmlformats.org/officeDocument/2006/relationships/image" Target="media/image17.wmf"/><Relationship Id="rId27" Type="http://schemas.openxmlformats.org/officeDocument/2006/relationships/oleObject" Target="embeddings/oleObject4.bin"/><Relationship Id="rId26" Type="http://schemas.openxmlformats.org/officeDocument/2006/relationships/image" Target="media/image16.wmf"/><Relationship Id="rId25" Type="http://schemas.openxmlformats.org/officeDocument/2006/relationships/oleObject" Target="embeddings/oleObject3.bin"/><Relationship Id="rId24" Type="http://schemas.openxmlformats.org/officeDocument/2006/relationships/image" Target="media/image15.wmf"/><Relationship Id="rId23" Type="http://schemas.openxmlformats.org/officeDocument/2006/relationships/oleObject" Target="embeddings/oleObject2.bin"/><Relationship Id="rId22" Type="http://schemas.openxmlformats.org/officeDocument/2006/relationships/image" Target="media/image14.png"/><Relationship Id="rId21" Type="http://schemas.openxmlformats.org/officeDocument/2006/relationships/image" Target="media/image13.pn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wmf"/><Relationship Id="rId18" Type="http://schemas.openxmlformats.org/officeDocument/2006/relationships/image" Target="media/image10.wmf"/><Relationship Id="rId17" Type="http://schemas.openxmlformats.org/officeDocument/2006/relationships/oleObject" Target="embeddings/oleObject1.bin"/><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jpe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4097"/>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E17E5BE-5F48-4B9E-8983-A9BD07C7502E}">
  <ds:schemaRefs/>
</ds:datastoreItem>
</file>

<file path=docProps/app.xml><?xml version="1.0" encoding="utf-8"?>
<Properties xmlns="http://schemas.openxmlformats.org/officeDocument/2006/extended-properties" xmlns:vt="http://schemas.openxmlformats.org/officeDocument/2006/docPropsVTypes">
  <Template>Normal</Template>
  <Company>DK</Company>
  <Pages>19</Pages>
  <Words>7346</Words>
  <Characters>8622</Characters>
  <Lines>83</Lines>
  <Paragraphs>23</Paragraphs>
  <TotalTime>20</TotalTime>
  <ScaleCrop>false</ScaleCrop>
  <LinksUpToDate>false</LinksUpToDate>
  <CharactersWithSpaces>8887</CharactersWithSpaces>
  <Application>WPS Office_11.1.0.14036_F1E327BC-269C-435d-A152-05C5408002CA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2019-01-29T03:24:00Z</dcterms:created>
  <dc:creator>admin</dc:creator>
  <cp:lastModifiedBy>M</cp:lastModifiedBy>
  <dcterms:modified xsi:type="dcterms:W3CDTF">2023-04-10T03:46:39Z</dcterms:modified>
  <cp:revision>58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867C0F330BBF4F4880CF936A25E70044</vt:lpwstr>
  </property>
</Properties>
</file>